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25FDC" w14:paraId="175863FF" w14:textId="77777777" w:rsidTr="00345119">
        <w:tc>
          <w:tcPr>
            <w:tcW w:w="9576" w:type="dxa"/>
            <w:noWrap/>
          </w:tcPr>
          <w:p w14:paraId="43C929E1" w14:textId="77777777" w:rsidR="008423E4" w:rsidRPr="0022177D" w:rsidRDefault="00A17CA5" w:rsidP="000E3965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500FD83" w14:textId="77777777" w:rsidR="008423E4" w:rsidRPr="0022177D" w:rsidRDefault="008423E4" w:rsidP="000E3965">
      <w:pPr>
        <w:jc w:val="center"/>
      </w:pPr>
    </w:p>
    <w:p w14:paraId="020A5632" w14:textId="77777777" w:rsidR="008423E4" w:rsidRPr="00B31F0E" w:rsidRDefault="008423E4" w:rsidP="000E3965"/>
    <w:p w14:paraId="61997A34" w14:textId="77777777" w:rsidR="008423E4" w:rsidRPr="00742794" w:rsidRDefault="008423E4" w:rsidP="000E396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25FDC" w14:paraId="7ADDB239" w14:textId="77777777" w:rsidTr="00345119">
        <w:tc>
          <w:tcPr>
            <w:tcW w:w="9576" w:type="dxa"/>
          </w:tcPr>
          <w:p w14:paraId="57F20604" w14:textId="77777777" w:rsidR="008423E4" w:rsidRPr="00861995" w:rsidRDefault="00A17CA5" w:rsidP="000E3965">
            <w:pPr>
              <w:jc w:val="right"/>
            </w:pPr>
            <w:r>
              <w:t>S.B. 1531</w:t>
            </w:r>
          </w:p>
        </w:tc>
      </w:tr>
      <w:tr w:rsidR="00F25FDC" w14:paraId="160B0B0E" w14:textId="77777777" w:rsidTr="00345119">
        <w:tc>
          <w:tcPr>
            <w:tcW w:w="9576" w:type="dxa"/>
          </w:tcPr>
          <w:p w14:paraId="260B2EB1" w14:textId="77777777" w:rsidR="008423E4" w:rsidRPr="00861995" w:rsidRDefault="00A17CA5" w:rsidP="000E3965">
            <w:pPr>
              <w:jc w:val="right"/>
            </w:pPr>
            <w:r>
              <w:t xml:space="preserve">By: </w:t>
            </w:r>
            <w:r w:rsidR="0065342D">
              <w:t>West</w:t>
            </w:r>
          </w:p>
        </w:tc>
      </w:tr>
      <w:tr w:rsidR="00F25FDC" w14:paraId="4C084B52" w14:textId="77777777" w:rsidTr="00345119">
        <w:tc>
          <w:tcPr>
            <w:tcW w:w="9576" w:type="dxa"/>
          </w:tcPr>
          <w:p w14:paraId="40B3C7E4" w14:textId="77777777" w:rsidR="008423E4" w:rsidRPr="00861995" w:rsidRDefault="00A17CA5" w:rsidP="000E3965">
            <w:pPr>
              <w:jc w:val="right"/>
            </w:pPr>
            <w:r>
              <w:t>Higher Education</w:t>
            </w:r>
          </w:p>
        </w:tc>
      </w:tr>
      <w:tr w:rsidR="00F25FDC" w14:paraId="76CD5B79" w14:textId="77777777" w:rsidTr="00345119">
        <w:tc>
          <w:tcPr>
            <w:tcW w:w="9576" w:type="dxa"/>
          </w:tcPr>
          <w:p w14:paraId="753E6C4A" w14:textId="77777777" w:rsidR="008423E4" w:rsidRDefault="00A17CA5" w:rsidP="000E3965">
            <w:pPr>
              <w:jc w:val="right"/>
            </w:pPr>
            <w:r>
              <w:t>Committee Report (Unamended)</w:t>
            </w:r>
          </w:p>
        </w:tc>
      </w:tr>
    </w:tbl>
    <w:p w14:paraId="3F3B3641" w14:textId="77777777" w:rsidR="008423E4" w:rsidRDefault="008423E4" w:rsidP="000E3965">
      <w:pPr>
        <w:tabs>
          <w:tab w:val="right" w:pos="9360"/>
        </w:tabs>
      </w:pPr>
    </w:p>
    <w:p w14:paraId="5D9D3AD8" w14:textId="77777777" w:rsidR="008423E4" w:rsidRDefault="008423E4" w:rsidP="000E3965"/>
    <w:p w14:paraId="73E76B80" w14:textId="77777777" w:rsidR="008423E4" w:rsidRDefault="008423E4" w:rsidP="000E396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25FDC" w14:paraId="6201DBF8" w14:textId="77777777" w:rsidTr="00345119">
        <w:tc>
          <w:tcPr>
            <w:tcW w:w="9576" w:type="dxa"/>
          </w:tcPr>
          <w:p w14:paraId="1013F115" w14:textId="77777777" w:rsidR="008423E4" w:rsidRPr="00A8133F" w:rsidRDefault="00A17CA5" w:rsidP="000E396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814758A" w14:textId="77777777" w:rsidR="008423E4" w:rsidRDefault="008423E4" w:rsidP="000E3965"/>
          <w:p w14:paraId="57627930" w14:textId="2E8D4694" w:rsidR="0083047C" w:rsidRDefault="00A17CA5" w:rsidP="000E39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improvements are needed to achieve the state's </w:t>
            </w:r>
            <w:r w:rsidR="0065342D" w:rsidRPr="0065342D">
              <w:t>goal of incentivizing timely completion</w:t>
            </w:r>
            <w:r>
              <w:t xml:space="preserve"> of degree programs</w:t>
            </w:r>
            <w:r w:rsidR="00151A8F">
              <w:t>, particularly at the community college level, where concerns have been raised regarding insufficient monitoring of credit accumulation in support of a specific degree pathway</w:t>
            </w:r>
            <w:r w:rsidR="0065342D" w:rsidRPr="0065342D">
              <w:t>.</w:t>
            </w:r>
            <w:r w:rsidR="0065342D">
              <w:t xml:space="preserve"> </w:t>
            </w:r>
            <w:r w:rsidR="0065342D" w:rsidRPr="0065342D">
              <w:t xml:space="preserve">S.B. 1531 </w:t>
            </w:r>
            <w:r>
              <w:t xml:space="preserve">seeks to </w:t>
            </w:r>
            <w:r w:rsidR="00837FDA">
              <w:t>address this issue</w:t>
            </w:r>
            <w:r>
              <w:t xml:space="preserve"> by </w:t>
            </w:r>
            <w:r w:rsidR="00151A8F">
              <w:t xml:space="preserve">setting a </w:t>
            </w:r>
            <w:r w:rsidR="00D54BE0">
              <w:t>threshold</w:t>
            </w:r>
            <w:r w:rsidR="00151A8F">
              <w:t xml:space="preserve"> of 15 semester credit hours</w:t>
            </w:r>
            <w:r w:rsidR="00151A8F" w:rsidRPr="0065342D">
              <w:t xml:space="preserve"> </w:t>
            </w:r>
            <w:r w:rsidR="00151A8F">
              <w:t>in excess of those required for a</w:t>
            </w:r>
            <w:r w:rsidR="00D54BE0">
              <w:t>n associate</w:t>
            </w:r>
            <w:r w:rsidR="00151A8F">
              <w:t xml:space="preserve"> degree plan</w:t>
            </w:r>
            <w:r w:rsidR="00D54BE0">
              <w:t>, beyond which any additional hours</w:t>
            </w:r>
            <w:r w:rsidR="00151A8F">
              <w:t xml:space="preserve"> may </w:t>
            </w:r>
            <w:r w:rsidR="00D54BE0">
              <w:t xml:space="preserve">not </w:t>
            </w:r>
            <w:r w:rsidR="00151A8F">
              <w:t>be supported by formula funding</w:t>
            </w:r>
            <w:r w:rsidR="00D54BE0">
              <w:t>,</w:t>
            </w:r>
            <w:r w:rsidR="00151A8F">
              <w:t xml:space="preserve"> and </w:t>
            </w:r>
            <w:r w:rsidR="00D54BE0">
              <w:t xml:space="preserve">by </w:t>
            </w:r>
            <w:r w:rsidR="00151A8F">
              <w:t>allowing a public institution of higher education to charge a higher tuition rate for classes exceeding that threshold.</w:t>
            </w:r>
          </w:p>
          <w:p w14:paraId="0F08DC8E" w14:textId="77777777" w:rsidR="008423E4" w:rsidRPr="00E26B13" w:rsidRDefault="008423E4" w:rsidP="000E396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25FDC" w14:paraId="2ED65A8E" w14:textId="77777777" w:rsidTr="00345119">
        <w:tc>
          <w:tcPr>
            <w:tcW w:w="9576" w:type="dxa"/>
          </w:tcPr>
          <w:p w14:paraId="7C60B59F" w14:textId="77777777" w:rsidR="0017725B" w:rsidRDefault="00A17CA5" w:rsidP="000E396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24909F" w14:textId="77777777" w:rsidR="0017725B" w:rsidRDefault="0017725B" w:rsidP="000E3965">
            <w:pPr>
              <w:rPr>
                <w:b/>
                <w:u w:val="single"/>
              </w:rPr>
            </w:pPr>
          </w:p>
          <w:p w14:paraId="06CCE0FB" w14:textId="77777777" w:rsidR="00E17CCF" w:rsidRPr="00E17CCF" w:rsidRDefault="00A17CA5" w:rsidP="000E3965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7CDFC004" w14:textId="77777777" w:rsidR="0017725B" w:rsidRPr="0017725B" w:rsidRDefault="0017725B" w:rsidP="000E3965">
            <w:pPr>
              <w:rPr>
                <w:b/>
                <w:u w:val="single"/>
              </w:rPr>
            </w:pPr>
          </w:p>
        </w:tc>
      </w:tr>
      <w:tr w:rsidR="00F25FDC" w14:paraId="03CD2391" w14:textId="77777777" w:rsidTr="00345119">
        <w:tc>
          <w:tcPr>
            <w:tcW w:w="9576" w:type="dxa"/>
          </w:tcPr>
          <w:p w14:paraId="705CD239" w14:textId="77777777" w:rsidR="008423E4" w:rsidRPr="00A8133F" w:rsidRDefault="00A17CA5" w:rsidP="000E396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3F9D057" w14:textId="77777777" w:rsidR="008423E4" w:rsidRDefault="008423E4" w:rsidP="000E3965"/>
          <w:p w14:paraId="11BA685C" w14:textId="77777777" w:rsidR="00E17CCF" w:rsidRDefault="00A17CA5" w:rsidP="000E39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742413A" w14:textId="77777777" w:rsidR="008423E4" w:rsidRPr="00E21FDC" w:rsidRDefault="008423E4" w:rsidP="000E3965">
            <w:pPr>
              <w:rPr>
                <w:b/>
              </w:rPr>
            </w:pPr>
          </w:p>
        </w:tc>
      </w:tr>
      <w:tr w:rsidR="00F25FDC" w14:paraId="4C35AD38" w14:textId="77777777" w:rsidTr="00345119">
        <w:tc>
          <w:tcPr>
            <w:tcW w:w="9576" w:type="dxa"/>
          </w:tcPr>
          <w:p w14:paraId="6FDA2ED1" w14:textId="77777777" w:rsidR="008423E4" w:rsidRPr="00A8133F" w:rsidRDefault="00A17CA5" w:rsidP="000E396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042EA29" w14:textId="77777777" w:rsidR="008423E4" w:rsidRDefault="008423E4" w:rsidP="000E3965"/>
          <w:p w14:paraId="43EF053E" w14:textId="1EE350A7" w:rsidR="004F5F44" w:rsidRDefault="00A17CA5" w:rsidP="000E39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1531 amends the Education Code to </w:t>
            </w:r>
            <w:r w:rsidR="00B20D11">
              <w:t>lower the threshold number of semester credit hours</w:t>
            </w:r>
            <w:r w:rsidR="00D63551">
              <w:t xml:space="preserve">, in addition to the total required for a student's degree plan, </w:t>
            </w:r>
            <w:r w:rsidR="00B20D11">
              <w:t xml:space="preserve">above which </w:t>
            </w:r>
            <w:r>
              <w:t>a</w:t>
            </w:r>
            <w:r w:rsidR="005F5D13">
              <w:t xml:space="preserve"> public</w:t>
            </w:r>
            <w:r>
              <w:t xml:space="preserve"> institution of higher education </w:t>
            </w:r>
            <w:r w:rsidR="00B20D11">
              <w:t xml:space="preserve">may </w:t>
            </w:r>
            <w:r>
              <w:t xml:space="preserve">charge </w:t>
            </w:r>
            <w:r w:rsidRPr="00E17CCF">
              <w:t xml:space="preserve">a resident undergraduate student a higher rate </w:t>
            </w:r>
            <w:r w:rsidR="00E8255B">
              <w:t xml:space="preserve">of tuition for excessive semester credit hours </w:t>
            </w:r>
            <w:r w:rsidR="00B20D11">
              <w:t>from 30 hours to 15 hours for a student enrolled in an associate degree program</w:t>
            </w:r>
            <w:r>
              <w:t>.</w:t>
            </w:r>
            <w:r w:rsidR="00B20D11">
              <w:t xml:space="preserve"> The bill </w:t>
            </w:r>
            <w:r w:rsidR="005C7575">
              <w:t xml:space="preserve">removes language relating to the method of determining excessive semester credit hours for an undergraduate student who is not enrolled in a degree program and establishes instead that such a student is considered to be enrolled in a baccalaureate degree program. </w:t>
            </w:r>
            <w:r w:rsidR="00794FD1">
              <w:t>These provisions apply beginning with tuition charged for the 2023 fall semester.</w:t>
            </w:r>
          </w:p>
          <w:p w14:paraId="43A90459" w14:textId="77777777" w:rsidR="00146D58" w:rsidRDefault="00146D58" w:rsidP="000E39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3E04AFA" w14:textId="719ADE2E" w:rsidR="00C72028" w:rsidRDefault="00A17CA5" w:rsidP="000E39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1531 revises </w:t>
            </w:r>
            <w:r w:rsidR="00542E68">
              <w:t xml:space="preserve">provisions excluding </w:t>
            </w:r>
            <w:r w:rsidR="00D63551">
              <w:t xml:space="preserve">any excessive semester credit hours earned by a resident undergraduate student </w:t>
            </w:r>
            <w:r w:rsidR="00542E68">
              <w:t xml:space="preserve">from formula funding calculations </w:t>
            </w:r>
            <w:r w:rsidR="00C67587">
              <w:t>to reflect</w:t>
            </w:r>
            <w:r>
              <w:t xml:space="preserve"> the </w:t>
            </w:r>
            <w:r w:rsidR="00542E68">
              <w:t xml:space="preserve">threshold change and </w:t>
            </w:r>
            <w:r>
              <w:t xml:space="preserve">to reflect </w:t>
            </w:r>
            <w:r w:rsidR="00542E68">
              <w:t>the default classification of a student who is not enrolled in a degree program as a baccalaureate degree student</w:t>
            </w:r>
            <w:r>
              <w:t xml:space="preserve"> for tuition purposes</w:t>
            </w:r>
            <w:r w:rsidR="00C67587">
              <w:t>.</w:t>
            </w:r>
            <w:r>
              <w:t xml:space="preserve"> </w:t>
            </w:r>
            <w:r w:rsidR="00794FD1">
              <w:t>Th</w:t>
            </w:r>
            <w:r w:rsidR="00C67587">
              <w:t>e bill's</w:t>
            </w:r>
            <w:r w:rsidR="00794FD1">
              <w:t xml:space="preserve"> provisions </w:t>
            </w:r>
            <w:r w:rsidR="00C67587">
              <w:t xml:space="preserve">relating to the funding formula </w:t>
            </w:r>
            <w:r w:rsidR="00794FD1">
              <w:t>apply beginning with funding recommendations made for the state fiscal biennium beginning September 1, 2023.</w:t>
            </w:r>
            <w:r w:rsidR="00BE3B25">
              <w:t xml:space="preserve"> </w:t>
            </w:r>
          </w:p>
          <w:p w14:paraId="0711AD65" w14:textId="77777777" w:rsidR="008423E4" w:rsidRPr="00835628" w:rsidRDefault="008423E4" w:rsidP="000E3965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F25FDC" w14:paraId="7789E83E" w14:textId="77777777" w:rsidTr="00345119">
        <w:tc>
          <w:tcPr>
            <w:tcW w:w="9576" w:type="dxa"/>
          </w:tcPr>
          <w:p w14:paraId="424319A8" w14:textId="77777777" w:rsidR="008423E4" w:rsidRPr="00A8133F" w:rsidRDefault="00A17CA5" w:rsidP="000E396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33C137B" w14:textId="77777777" w:rsidR="008423E4" w:rsidRDefault="008423E4" w:rsidP="000E3965"/>
          <w:p w14:paraId="52C41A2B" w14:textId="77777777" w:rsidR="008423E4" w:rsidRPr="003624F2" w:rsidRDefault="00A17CA5" w:rsidP="000E396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482CBE36" w14:textId="77777777" w:rsidR="008423E4" w:rsidRPr="00233FDB" w:rsidRDefault="008423E4" w:rsidP="000E3965">
            <w:pPr>
              <w:rPr>
                <w:b/>
              </w:rPr>
            </w:pPr>
          </w:p>
        </w:tc>
      </w:tr>
    </w:tbl>
    <w:p w14:paraId="009F8F6F" w14:textId="77777777" w:rsidR="008423E4" w:rsidRPr="00BE0E75" w:rsidRDefault="008423E4" w:rsidP="000E3965">
      <w:pPr>
        <w:jc w:val="both"/>
        <w:rPr>
          <w:rFonts w:ascii="Arial" w:hAnsi="Arial"/>
          <w:sz w:val="16"/>
          <w:szCs w:val="16"/>
        </w:rPr>
      </w:pPr>
    </w:p>
    <w:p w14:paraId="044E4103" w14:textId="77777777" w:rsidR="004108C3" w:rsidRPr="008423E4" w:rsidRDefault="004108C3" w:rsidP="000E3965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63AF7" w14:textId="77777777" w:rsidR="00000000" w:rsidRDefault="00A17CA5">
      <w:r>
        <w:separator/>
      </w:r>
    </w:p>
  </w:endnote>
  <w:endnote w:type="continuationSeparator" w:id="0">
    <w:p w14:paraId="7AC587F9" w14:textId="77777777" w:rsidR="00000000" w:rsidRDefault="00A1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35C6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25FDC" w14:paraId="47D46F0B" w14:textId="77777777" w:rsidTr="009C1E9A">
      <w:trPr>
        <w:cantSplit/>
      </w:trPr>
      <w:tc>
        <w:tcPr>
          <w:tcW w:w="0" w:type="pct"/>
        </w:tcPr>
        <w:p w14:paraId="0DA8BB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2533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731375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6246D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E8D8FD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5FDC" w14:paraId="069D48F9" w14:textId="77777777" w:rsidTr="009C1E9A">
      <w:trPr>
        <w:cantSplit/>
      </w:trPr>
      <w:tc>
        <w:tcPr>
          <w:tcW w:w="0" w:type="pct"/>
        </w:tcPr>
        <w:p w14:paraId="3BB4D28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FDADEF" w14:textId="77777777" w:rsidR="00EC379B" w:rsidRPr="009C1E9A" w:rsidRDefault="00A17CA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25601</w:t>
          </w:r>
        </w:p>
      </w:tc>
      <w:tc>
        <w:tcPr>
          <w:tcW w:w="2453" w:type="pct"/>
        </w:tcPr>
        <w:p w14:paraId="79066D55" w14:textId="4D98020F" w:rsidR="00EC379B" w:rsidRDefault="00A17CA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7105C">
            <w:t>21.130.1429</w:t>
          </w:r>
          <w:r>
            <w:fldChar w:fldCharType="end"/>
          </w:r>
        </w:p>
      </w:tc>
    </w:tr>
    <w:tr w:rsidR="00F25FDC" w14:paraId="619D35B0" w14:textId="77777777" w:rsidTr="009C1E9A">
      <w:trPr>
        <w:cantSplit/>
      </w:trPr>
      <w:tc>
        <w:tcPr>
          <w:tcW w:w="0" w:type="pct"/>
        </w:tcPr>
        <w:p w14:paraId="5B052BE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073417E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0A47E8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196CF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5FDC" w14:paraId="2F0C606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7218F28" w14:textId="7D30577D" w:rsidR="00EC379B" w:rsidRDefault="00A17CA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E396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D7DD2C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8DA50A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A63D1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73896" w14:textId="77777777" w:rsidR="00000000" w:rsidRDefault="00A17CA5">
      <w:r>
        <w:separator/>
      </w:r>
    </w:p>
  </w:footnote>
  <w:footnote w:type="continuationSeparator" w:id="0">
    <w:p w14:paraId="227DDB29" w14:textId="77777777" w:rsidR="00000000" w:rsidRDefault="00A1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7492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A5C04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DD9C9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5269"/>
    <w:multiLevelType w:val="hybridMultilevel"/>
    <w:tmpl w:val="B1D0E7AE"/>
    <w:lvl w:ilvl="0" w:tplc="87486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E8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82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CB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02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285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0E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68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81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600D1"/>
    <w:multiLevelType w:val="hybridMultilevel"/>
    <w:tmpl w:val="1F9281FE"/>
    <w:lvl w:ilvl="0" w:tplc="845C4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0C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02F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03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67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C0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09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60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09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2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965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D58"/>
    <w:rsid w:val="00147530"/>
    <w:rsid w:val="00151A8F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682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8F2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105C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4A4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5F44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2E6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575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E7D92"/>
    <w:rsid w:val="005F1519"/>
    <w:rsid w:val="005F4862"/>
    <w:rsid w:val="005F5679"/>
    <w:rsid w:val="005F5D13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342D"/>
    <w:rsid w:val="00662B77"/>
    <w:rsid w:val="00662D0E"/>
    <w:rsid w:val="00663265"/>
    <w:rsid w:val="0066345F"/>
    <w:rsid w:val="0066485B"/>
    <w:rsid w:val="006674E6"/>
    <w:rsid w:val="0067036E"/>
    <w:rsid w:val="00671693"/>
    <w:rsid w:val="006757AA"/>
    <w:rsid w:val="0067653C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1D7C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4FD1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47C"/>
    <w:rsid w:val="00830EEB"/>
    <w:rsid w:val="008347A9"/>
    <w:rsid w:val="00835628"/>
    <w:rsid w:val="00835E90"/>
    <w:rsid w:val="00837FDA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23A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17CA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5D7C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3D7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37A6"/>
    <w:rsid w:val="00B14BD2"/>
    <w:rsid w:val="00B1557F"/>
    <w:rsid w:val="00B1668D"/>
    <w:rsid w:val="00B17981"/>
    <w:rsid w:val="00B20D1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B25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7587"/>
    <w:rsid w:val="00C72028"/>
    <w:rsid w:val="00C72956"/>
    <w:rsid w:val="00C73045"/>
    <w:rsid w:val="00C73212"/>
    <w:rsid w:val="00C7354A"/>
    <w:rsid w:val="00C74379"/>
    <w:rsid w:val="00C74DD8"/>
    <w:rsid w:val="00C75C5E"/>
    <w:rsid w:val="00C7669F"/>
    <w:rsid w:val="00C768D4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BE0"/>
    <w:rsid w:val="00D55F52"/>
    <w:rsid w:val="00D56508"/>
    <w:rsid w:val="00D6131A"/>
    <w:rsid w:val="00D61611"/>
    <w:rsid w:val="00D61784"/>
    <w:rsid w:val="00D6178A"/>
    <w:rsid w:val="00D63551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4E6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CCF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55B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5FDC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ED3B46-E9E6-446F-84D0-73076DEC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46D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6D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6D5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6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6D58"/>
    <w:rPr>
      <w:b/>
      <w:bCs/>
    </w:rPr>
  </w:style>
  <w:style w:type="paragraph" w:styleId="Revision">
    <w:name w:val="Revision"/>
    <w:hidden/>
    <w:uiPriority w:val="99"/>
    <w:semiHidden/>
    <w:rsid w:val="00146D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2144</Characters>
  <Application>Microsoft Office Word</Application>
  <DocSecurity>4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SB01531 (Committee Report (Unamended))</vt:lpstr>
    </vt:vector>
  </TitlesOfParts>
  <Company>State of Texas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25601</dc:subject>
  <dc:creator>State of Texas</dc:creator>
  <dc:description>SB 1531 by West-(H)Higher Education</dc:description>
  <cp:lastModifiedBy>Damian Duarte</cp:lastModifiedBy>
  <cp:revision>2</cp:revision>
  <cp:lastPrinted>2003-11-26T17:21:00Z</cp:lastPrinted>
  <dcterms:created xsi:type="dcterms:W3CDTF">2021-05-17T22:37:00Z</dcterms:created>
  <dcterms:modified xsi:type="dcterms:W3CDTF">2021-05-17T22:37:00Z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21.130.1429</vt:lpwstr>
  </property>
</Properties>
</file>