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E6" w:rsidRDefault="009F35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CBEF9601C14D429113B0A1FD98C754"/>
          </w:placeholder>
        </w:sdtPr>
        <w:sdtContent>
          <w:r w:rsidRPr="005C2A78">
            <w:rPr>
              <w:rFonts w:cs="Times New Roman"/>
              <w:b/>
              <w:szCs w:val="24"/>
              <w:u w:val="single"/>
            </w:rPr>
            <w:t>BILL ANALYSIS</w:t>
          </w:r>
        </w:sdtContent>
      </w:sdt>
    </w:p>
    <w:p w:rsidR="009F35E6" w:rsidRPr="00585C31" w:rsidRDefault="009F35E6" w:rsidP="000F1DF9">
      <w:pPr>
        <w:spacing w:after="0" w:line="240" w:lineRule="auto"/>
        <w:rPr>
          <w:rFonts w:cs="Times New Roman"/>
          <w:szCs w:val="24"/>
        </w:rPr>
      </w:pPr>
    </w:p>
    <w:p w:rsidR="009F35E6" w:rsidRPr="00585C31" w:rsidRDefault="009F35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35E6" w:rsidTr="000F1DF9">
        <w:tc>
          <w:tcPr>
            <w:tcW w:w="2718" w:type="dxa"/>
          </w:tcPr>
          <w:p w:rsidR="009F35E6" w:rsidRPr="005C2A78" w:rsidRDefault="009F35E6" w:rsidP="006D756B">
            <w:pPr>
              <w:rPr>
                <w:rFonts w:cs="Times New Roman"/>
                <w:szCs w:val="24"/>
              </w:rPr>
            </w:pPr>
            <w:sdt>
              <w:sdtPr>
                <w:rPr>
                  <w:rFonts w:cs="Times New Roman"/>
                  <w:szCs w:val="24"/>
                </w:rPr>
                <w:alias w:val="Agency Title"/>
                <w:tag w:val="AgencyTitleContentControl"/>
                <w:id w:val="1920747753"/>
                <w:lock w:val="sdtContentLocked"/>
                <w:placeholder>
                  <w:docPart w:val="0389803E44D341F2A5C7E11BF6C6460C"/>
                </w:placeholder>
              </w:sdtPr>
              <w:sdtEndPr>
                <w:rPr>
                  <w:rFonts w:cstheme="minorBidi"/>
                  <w:szCs w:val="22"/>
                </w:rPr>
              </w:sdtEndPr>
              <w:sdtContent>
                <w:r>
                  <w:rPr>
                    <w:rFonts w:cs="Times New Roman"/>
                    <w:szCs w:val="24"/>
                  </w:rPr>
                  <w:t>Senate Research Center</w:t>
                </w:r>
              </w:sdtContent>
            </w:sdt>
          </w:p>
        </w:tc>
        <w:tc>
          <w:tcPr>
            <w:tcW w:w="6858" w:type="dxa"/>
          </w:tcPr>
          <w:p w:rsidR="009F35E6" w:rsidRPr="00FF6471" w:rsidRDefault="009F35E6" w:rsidP="000F1DF9">
            <w:pPr>
              <w:jc w:val="right"/>
              <w:rPr>
                <w:rFonts w:cs="Times New Roman"/>
                <w:szCs w:val="24"/>
              </w:rPr>
            </w:pPr>
            <w:sdt>
              <w:sdtPr>
                <w:rPr>
                  <w:rFonts w:cs="Times New Roman"/>
                  <w:szCs w:val="24"/>
                </w:rPr>
                <w:alias w:val="Bill Number"/>
                <w:tag w:val="BillNumberOne"/>
                <w:id w:val="-410784069"/>
                <w:lock w:val="sdtContentLocked"/>
                <w:placeholder>
                  <w:docPart w:val="F6F911E4EFAC4B8F8C4672A231C7FD29"/>
                </w:placeholder>
              </w:sdtPr>
              <w:sdtContent>
                <w:r>
                  <w:rPr>
                    <w:rFonts w:cs="Times New Roman"/>
                    <w:szCs w:val="24"/>
                  </w:rPr>
                  <w:t>S.B. 1531</w:t>
                </w:r>
              </w:sdtContent>
            </w:sdt>
          </w:p>
        </w:tc>
      </w:tr>
      <w:tr w:rsidR="009F35E6" w:rsidTr="000F1DF9">
        <w:sdt>
          <w:sdtPr>
            <w:rPr>
              <w:rFonts w:cs="Times New Roman"/>
              <w:szCs w:val="24"/>
            </w:rPr>
            <w:alias w:val="TLCNumber"/>
            <w:tag w:val="TLCNumber"/>
            <w:id w:val="-542600604"/>
            <w:lock w:val="sdtLocked"/>
            <w:placeholder>
              <w:docPart w:val="A90D4991DA5940AAB9F046F1A84EA555"/>
            </w:placeholder>
          </w:sdtPr>
          <w:sdtContent>
            <w:tc>
              <w:tcPr>
                <w:tcW w:w="2718" w:type="dxa"/>
              </w:tcPr>
              <w:p w:rsidR="009F35E6" w:rsidRPr="000F1DF9" w:rsidRDefault="009F35E6" w:rsidP="00C65088">
                <w:pPr>
                  <w:rPr>
                    <w:rFonts w:cs="Times New Roman"/>
                    <w:szCs w:val="24"/>
                  </w:rPr>
                </w:pPr>
                <w:r>
                  <w:rPr>
                    <w:rFonts w:cs="Times New Roman"/>
                    <w:szCs w:val="24"/>
                  </w:rPr>
                  <w:t>87R11863 KJE-D</w:t>
                </w:r>
              </w:p>
            </w:tc>
          </w:sdtContent>
        </w:sdt>
        <w:tc>
          <w:tcPr>
            <w:tcW w:w="6858" w:type="dxa"/>
          </w:tcPr>
          <w:p w:rsidR="009F35E6" w:rsidRPr="005C2A78" w:rsidRDefault="009F35E6" w:rsidP="00073EDD">
            <w:pPr>
              <w:jc w:val="right"/>
              <w:rPr>
                <w:rFonts w:cs="Times New Roman"/>
                <w:szCs w:val="24"/>
              </w:rPr>
            </w:pPr>
            <w:sdt>
              <w:sdtPr>
                <w:rPr>
                  <w:rFonts w:cs="Times New Roman"/>
                  <w:szCs w:val="24"/>
                </w:rPr>
                <w:alias w:val="Author Label"/>
                <w:tag w:val="By"/>
                <w:id w:val="72399597"/>
                <w:lock w:val="sdtLocked"/>
                <w:placeholder>
                  <w:docPart w:val="44C2BD15EEC548ACB459E2AEF074B6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8C852E6B3B4D77BFBC438E266E1248"/>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1E23DAD9A067451DBF4EA91AF8D39908"/>
                </w:placeholder>
                <w:showingPlcHdr/>
              </w:sdtPr>
              <w:sdtContent/>
            </w:sdt>
            <w:sdt>
              <w:sdtPr>
                <w:rPr>
                  <w:rFonts w:cs="Times New Roman"/>
                  <w:szCs w:val="24"/>
                </w:rPr>
                <w:alias w:val="DualSponsor"/>
                <w:tag w:val="DualSponsor"/>
                <w:id w:val="1029379812"/>
                <w:lock w:val="sdtContentLocked"/>
                <w:placeholder>
                  <w:docPart w:val="FF1FF9EB02D043C4AF47EF34191DF8DE"/>
                </w:placeholder>
                <w:showingPlcHdr/>
              </w:sdtPr>
              <w:sdtContent/>
            </w:sdt>
          </w:p>
        </w:tc>
      </w:tr>
      <w:tr w:rsidR="009F35E6" w:rsidTr="000F1DF9">
        <w:tc>
          <w:tcPr>
            <w:tcW w:w="2718" w:type="dxa"/>
          </w:tcPr>
          <w:p w:rsidR="009F35E6" w:rsidRPr="00BC7495" w:rsidRDefault="009F35E6" w:rsidP="000F1DF9">
            <w:pPr>
              <w:rPr>
                <w:rFonts w:cs="Times New Roman"/>
                <w:szCs w:val="24"/>
              </w:rPr>
            </w:pPr>
          </w:p>
        </w:tc>
        <w:sdt>
          <w:sdtPr>
            <w:rPr>
              <w:rFonts w:cs="Times New Roman"/>
              <w:szCs w:val="24"/>
            </w:rPr>
            <w:alias w:val="Committee"/>
            <w:tag w:val="Committee"/>
            <w:id w:val="1914272295"/>
            <w:lock w:val="sdtContentLocked"/>
            <w:placeholder>
              <w:docPart w:val="DD5D20C00C22437EBE8F65D12AC35DCA"/>
            </w:placeholder>
          </w:sdtPr>
          <w:sdtContent>
            <w:tc>
              <w:tcPr>
                <w:tcW w:w="6858" w:type="dxa"/>
              </w:tcPr>
              <w:p w:rsidR="009F35E6" w:rsidRPr="00FF6471" w:rsidRDefault="009F35E6" w:rsidP="000F1DF9">
                <w:pPr>
                  <w:jc w:val="right"/>
                  <w:rPr>
                    <w:rFonts w:cs="Times New Roman"/>
                    <w:szCs w:val="24"/>
                  </w:rPr>
                </w:pPr>
                <w:r>
                  <w:rPr>
                    <w:rFonts w:cs="Times New Roman"/>
                    <w:szCs w:val="24"/>
                  </w:rPr>
                  <w:t>Higher Education</w:t>
                </w:r>
              </w:p>
            </w:tc>
          </w:sdtContent>
        </w:sdt>
      </w:tr>
      <w:tr w:rsidR="009F35E6" w:rsidTr="000F1DF9">
        <w:tc>
          <w:tcPr>
            <w:tcW w:w="2718" w:type="dxa"/>
          </w:tcPr>
          <w:p w:rsidR="009F35E6" w:rsidRPr="00BC7495" w:rsidRDefault="009F35E6" w:rsidP="000F1DF9">
            <w:pPr>
              <w:rPr>
                <w:rFonts w:cs="Times New Roman"/>
                <w:szCs w:val="24"/>
              </w:rPr>
            </w:pPr>
          </w:p>
        </w:tc>
        <w:sdt>
          <w:sdtPr>
            <w:rPr>
              <w:rFonts w:cs="Times New Roman"/>
              <w:szCs w:val="24"/>
            </w:rPr>
            <w:alias w:val="Date"/>
            <w:tag w:val="DateContentControl"/>
            <w:id w:val="1178081906"/>
            <w:lock w:val="sdtLocked"/>
            <w:placeholder>
              <w:docPart w:val="A9887DC25E584EFC86566E2A4FD7C764"/>
            </w:placeholder>
            <w:date w:fullDate="2021-03-29T00:00:00Z">
              <w:dateFormat w:val="M/d/yyyy"/>
              <w:lid w:val="en-US"/>
              <w:storeMappedDataAs w:val="dateTime"/>
              <w:calendar w:val="gregorian"/>
            </w:date>
          </w:sdtPr>
          <w:sdtContent>
            <w:tc>
              <w:tcPr>
                <w:tcW w:w="6858" w:type="dxa"/>
              </w:tcPr>
              <w:p w:rsidR="009F35E6" w:rsidRPr="00FF6471" w:rsidRDefault="009F35E6" w:rsidP="000F1DF9">
                <w:pPr>
                  <w:jc w:val="right"/>
                  <w:rPr>
                    <w:rFonts w:cs="Times New Roman"/>
                    <w:szCs w:val="24"/>
                  </w:rPr>
                </w:pPr>
                <w:r>
                  <w:rPr>
                    <w:rFonts w:cs="Times New Roman"/>
                    <w:szCs w:val="24"/>
                  </w:rPr>
                  <w:t>3/29/2021</w:t>
                </w:r>
              </w:p>
            </w:tc>
          </w:sdtContent>
        </w:sdt>
      </w:tr>
      <w:tr w:rsidR="009F35E6" w:rsidTr="000F1DF9">
        <w:tc>
          <w:tcPr>
            <w:tcW w:w="2718" w:type="dxa"/>
          </w:tcPr>
          <w:p w:rsidR="009F35E6" w:rsidRPr="00BC7495" w:rsidRDefault="009F35E6" w:rsidP="000F1DF9">
            <w:pPr>
              <w:rPr>
                <w:rFonts w:cs="Times New Roman"/>
                <w:szCs w:val="24"/>
              </w:rPr>
            </w:pPr>
          </w:p>
        </w:tc>
        <w:sdt>
          <w:sdtPr>
            <w:rPr>
              <w:rFonts w:cs="Times New Roman"/>
              <w:szCs w:val="24"/>
            </w:rPr>
            <w:alias w:val="BA Version"/>
            <w:tag w:val="BAVersion"/>
            <w:id w:val="-1685590809"/>
            <w:lock w:val="sdtContentLocked"/>
            <w:placeholder>
              <w:docPart w:val="8EC71B053ECE410BBF3E5A0113495067"/>
            </w:placeholder>
          </w:sdtPr>
          <w:sdtContent>
            <w:tc>
              <w:tcPr>
                <w:tcW w:w="6858" w:type="dxa"/>
              </w:tcPr>
              <w:p w:rsidR="009F35E6" w:rsidRPr="00FF6471" w:rsidRDefault="009F35E6" w:rsidP="000F1DF9">
                <w:pPr>
                  <w:jc w:val="right"/>
                  <w:rPr>
                    <w:rFonts w:cs="Times New Roman"/>
                    <w:szCs w:val="24"/>
                  </w:rPr>
                </w:pPr>
                <w:r>
                  <w:rPr>
                    <w:rFonts w:cs="Times New Roman"/>
                    <w:szCs w:val="24"/>
                  </w:rPr>
                  <w:t>As Filed</w:t>
                </w:r>
              </w:p>
            </w:tc>
          </w:sdtContent>
        </w:sdt>
      </w:tr>
    </w:tbl>
    <w:p w:rsidR="009F35E6" w:rsidRPr="00FF6471" w:rsidRDefault="009F35E6" w:rsidP="000F1DF9">
      <w:pPr>
        <w:spacing w:after="0" w:line="240" w:lineRule="auto"/>
        <w:rPr>
          <w:rFonts w:cs="Times New Roman"/>
          <w:szCs w:val="24"/>
        </w:rPr>
      </w:pPr>
    </w:p>
    <w:p w:rsidR="009F35E6" w:rsidRPr="00FF6471" w:rsidRDefault="009F35E6" w:rsidP="000F1DF9">
      <w:pPr>
        <w:spacing w:after="0" w:line="240" w:lineRule="auto"/>
        <w:rPr>
          <w:rFonts w:cs="Times New Roman"/>
          <w:szCs w:val="24"/>
        </w:rPr>
      </w:pPr>
    </w:p>
    <w:p w:rsidR="009F35E6" w:rsidRPr="00FF6471" w:rsidRDefault="009F35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EF5C7B48B44A8EAD57C3EF689DC139"/>
        </w:placeholder>
      </w:sdtPr>
      <w:sdtContent>
        <w:p w:rsidR="009F35E6" w:rsidRDefault="009F35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99C51339C86438FAE13854318B75028"/>
        </w:placeholder>
      </w:sdtPr>
      <w:sdtContent>
        <w:p w:rsidR="009F35E6" w:rsidRDefault="009F35E6" w:rsidP="007776C9">
          <w:pPr>
            <w:pStyle w:val="NormalWeb"/>
            <w:spacing w:before="0" w:beforeAutospacing="0" w:after="0" w:afterAutospacing="0"/>
            <w:jc w:val="both"/>
            <w:divId w:val="817647625"/>
            <w:rPr>
              <w:rFonts w:eastAsia="Times New Roman"/>
              <w:bCs/>
            </w:rPr>
          </w:pPr>
        </w:p>
        <w:p w:rsidR="009F35E6" w:rsidRDefault="009F35E6" w:rsidP="007776C9">
          <w:pPr>
            <w:pStyle w:val="NormalWeb"/>
            <w:spacing w:before="0" w:beforeAutospacing="0" w:after="0" w:afterAutospacing="0"/>
            <w:jc w:val="both"/>
            <w:divId w:val="817647625"/>
            <w:rPr>
              <w:color w:val="000000"/>
            </w:rPr>
          </w:pPr>
          <w:r w:rsidRPr="005608EC">
            <w:rPr>
              <w:color w:val="000000"/>
            </w:rPr>
            <w:t>It remains imperative that Texans pursuing a college degree are able to complete their credential in a timely fashion, allowing students and families to maximize the efficient use of personal resources and for the state to equitably support students through formula funding. In t</w:t>
          </w:r>
          <w:r>
            <w:rPr>
              <w:color w:val="000000"/>
            </w:rPr>
            <w:t>he 86th Legislature, S.B.</w:t>
          </w:r>
          <w:r w:rsidRPr="005608EC">
            <w:rPr>
              <w:color w:val="000000"/>
            </w:rPr>
            <w:t xml:space="preserve"> 25 passed with measures to improve this process. These measures include providing earlier action on a degree plan, additional advising, and transparency in pathways for students, including recommended course sequencing. There is often a case of insufficient monitoring of credit accumulation in support of a specific degree pathway at the community college</w:t>
          </w:r>
          <w:r>
            <w:rPr>
              <w:color w:val="000000"/>
            </w:rPr>
            <w:t xml:space="preserve"> level</w:t>
          </w:r>
          <w:r w:rsidRPr="005608EC">
            <w:rPr>
              <w:color w:val="000000"/>
            </w:rPr>
            <w:t xml:space="preserve">, and a tendency to allow students to change pathways with often insufficient monitoring and counseling. And too often, there is minimal, if any, contact between community college students and potential universities to which they might transfer while the students are taking courses at a community college. Recommended course sequencing from </w:t>
          </w:r>
          <w:r>
            <w:rPr>
              <w:color w:val="000000"/>
            </w:rPr>
            <w:t>S.B.</w:t>
          </w:r>
          <w:r w:rsidRPr="005608EC">
            <w:rPr>
              <w:color w:val="000000"/>
            </w:rPr>
            <w:t xml:space="preserve"> 25 will h</w:t>
          </w:r>
          <w:r>
            <w:rPr>
              <w:color w:val="000000"/>
            </w:rPr>
            <w:t>elp address this;</w:t>
          </w:r>
          <w:r w:rsidRPr="005608EC">
            <w:rPr>
              <w:color w:val="000000"/>
            </w:rPr>
            <w:t xml:space="preserve"> however</w:t>
          </w:r>
          <w:r>
            <w:rPr>
              <w:color w:val="000000"/>
            </w:rPr>
            <w:t>,</w:t>
          </w:r>
          <w:r w:rsidRPr="005608EC">
            <w:rPr>
              <w:color w:val="000000"/>
            </w:rPr>
            <w:t xml:space="preserve"> another step is needed.</w:t>
          </w:r>
        </w:p>
        <w:p w:rsidR="009F35E6" w:rsidRPr="005608EC" w:rsidRDefault="009F35E6" w:rsidP="007776C9">
          <w:pPr>
            <w:pStyle w:val="NormalWeb"/>
            <w:spacing w:before="0" w:beforeAutospacing="0" w:after="0" w:afterAutospacing="0"/>
            <w:jc w:val="both"/>
            <w:divId w:val="817647625"/>
            <w:rPr>
              <w:color w:val="000000"/>
            </w:rPr>
          </w:pPr>
        </w:p>
        <w:p w:rsidR="009F35E6" w:rsidRDefault="009F35E6" w:rsidP="007776C9">
          <w:pPr>
            <w:pStyle w:val="NormalWeb"/>
            <w:spacing w:before="0" w:beforeAutospacing="0" w:after="0" w:afterAutospacing="0"/>
            <w:jc w:val="both"/>
            <w:divId w:val="817647625"/>
            <w:rPr>
              <w:color w:val="000000"/>
            </w:rPr>
          </w:pPr>
          <w:r w:rsidRPr="005608EC">
            <w:rPr>
              <w:color w:val="000000"/>
            </w:rPr>
            <w:t>According to the most current Higher Education Almanac, the average time to a 60-hour associate degree at a community college is 81 hours, with no cap on excess se</w:t>
          </w:r>
          <w:r>
            <w:rPr>
              <w:color w:val="000000"/>
            </w:rPr>
            <w:t>mester credit hours. This is 35 percent</w:t>
          </w:r>
          <w:r w:rsidRPr="005608EC">
            <w:rPr>
              <w:color w:val="000000"/>
            </w:rPr>
            <w:t xml:space="preserve"> beyond the degree requirement, meaning that students and the state are paying for a higher proportion of excess hours at the community college level and limiting the margin of hours above the minimum allowed for the baccalaureate.</w:t>
          </w:r>
        </w:p>
        <w:p w:rsidR="009F35E6" w:rsidRPr="005608EC" w:rsidRDefault="009F35E6" w:rsidP="007776C9">
          <w:pPr>
            <w:pStyle w:val="NormalWeb"/>
            <w:spacing w:before="0" w:beforeAutospacing="0" w:after="0" w:afterAutospacing="0"/>
            <w:jc w:val="both"/>
            <w:divId w:val="817647625"/>
            <w:rPr>
              <w:color w:val="000000"/>
            </w:rPr>
          </w:pPr>
        </w:p>
        <w:p w:rsidR="009F35E6" w:rsidRDefault="009F35E6" w:rsidP="007776C9">
          <w:pPr>
            <w:pStyle w:val="NormalWeb"/>
            <w:spacing w:before="0" w:beforeAutospacing="0" w:after="0" w:afterAutospacing="0"/>
            <w:jc w:val="both"/>
            <w:divId w:val="817647625"/>
            <w:rPr>
              <w:color w:val="000000"/>
            </w:rPr>
          </w:pPr>
          <w:r w:rsidRPr="005608EC">
            <w:rPr>
              <w:color w:val="000000"/>
            </w:rPr>
            <w:t>Aligning the formula-eligi</w:t>
          </w:r>
          <w:r>
            <w:rPr>
              <w:color w:val="000000"/>
            </w:rPr>
            <w:t>ble hours for students to 25 percent</w:t>
          </w:r>
          <w:r w:rsidRPr="005608EC">
            <w:rPr>
              <w:color w:val="000000"/>
            </w:rPr>
            <w:t xml:space="preserve"> beyond their respective degree requirements, whether associate or baccalaureate, will result in increased degree completion efficiency and financial savings throughout the public higher education system in Texas. </w:t>
          </w:r>
        </w:p>
        <w:p w:rsidR="009F35E6" w:rsidRPr="005608EC" w:rsidRDefault="009F35E6" w:rsidP="007776C9">
          <w:pPr>
            <w:pStyle w:val="NormalWeb"/>
            <w:spacing w:before="0" w:beforeAutospacing="0" w:after="0" w:afterAutospacing="0"/>
            <w:jc w:val="both"/>
            <w:divId w:val="817647625"/>
            <w:rPr>
              <w:color w:val="000000"/>
            </w:rPr>
          </w:pPr>
        </w:p>
        <w:p w:rsidR="009F35E6" w:rsidRPr="005608EC" w:rsidRDefault="009F35E6" w:rsidP="007776C9">
          <w:pPr>
            <w:pStyle w:val="NormalWeb"/>
            <w:spacing w:before="0" w:beforeAutospacing="0" w:after="0" w:afterAutospacing="0"/>
            <w:jc w:val="both"/>
            <w:divId w:val="817647625"/>
            <w:rPr>
              <w:color w:val="000000"/>
            </w:rPr>
          </w:pPr>
          <w:r>
            <w:rPr>
              <w:color w:val="000000"/>
            </w:rPr>
            <w:t>S.B.</w:t>
          </w:r>
          <w:r w:rsidRPr="005608EC">
            <w:rPr>
              <w:color w:val="000000"/>
            </w:rPr>
            <w:t xml:space="preserve"> 1531 would apply a cap of 75 formula funded hours for community college students pursuing an academic tracked associate degree. Such a cap would include the current exception in statute for hours earned through examination; hours from college preparatory, technical courses, workforce education courses, or other courses that would not generate credit that qualifies to be applied to an academic degree at the institution</w:t>
          </w:r>
          <w:r>
            <w:rPr>
              <w:color w:val="000000"/>
            </w:rPr>
            <w:t>;</w:t>
          </w:r>
          <w:r w:rsidRPr="005608EC">
            <w:rPr>
              <w:color w:val="000000"/>
            </w:rPr>
            <w:t xml:space="preserve"> and hours earned at a private or out-of-state institution, as to not harm ANY student upskilling or reskilling. </w:t>
          </w:r>
        </w:p>
        <w:p w:rsidR="009F35E6" w:rsidRPr="00D70925" w:rsidRDefault="009F35E6" w:rsidP="007776C9">
          <w:pPr>
            <w:spacing w:after="0" w:line="240" w:lineRule="auto"/>
            <w:jc w:val="both"/>
            <w:rPr>
              <w:rFonts w:eastAsia="Times New Roman" w:cs="Times New Roman"/>
              <w:bCs/>
              <w:szCs w:val="24"/>
            </w:rPr>
          </w:pPr>
        </w:p>
      </w:sdtContent>
    </w:sdt>
    <w:p w:rsidR="009F35E6" w:rsidRDefault="009F35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1531 </w:t>
      </w:r>
      <w:bookmarkStart w:id="1" w:name="AmendsCurrentLaw"/>
      <w:bookmarkEnd w:id="1"/>
      <w:r>
        <w:rPr>
          <w:rFonts w:cs="Times New Roman"/>
          <w:szCs w:val="24"/>
        </w:rPr>
        <w:t>amends current law relating to formula funding for excess undergraduate credit hours at public institutions of higher education and to the tuition rate that may be charged for those credit hours.</w:t>
      </w:r>
    </w:p>
    <w:p w:rsidR="009F35E6" w:rsidRPr="005608EC" w:rsidRDefault="009F35E6" w:rsidP="000F1DF9">
      <w:pPr>
        <w:spacing w:after="0" w:line="240" w:lineRule="auto"/>
        <w:jc w:val="both"/>
        <w:rPr>
          <w:rFonts w:eastAsia="Times New Roman" w:cs="Times New Roman"/>
          <w:szCs w:val="24"/>
        </w:rPr>
      </w:pPr>
    </w:p>
    <w:p w:rsidR="009F35E6" w:rsidRPr="005C2A78" w:rsidRDefault="009F35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6540DE1B9A45A3AA0436E77061C05A"/>
          </w:placeholder>
        </w:sdtPr>
        <w:sdtContent>
          <w:r>
            <w:rPr>
              <w:rFonts w:eastAsia="Times New Roman" w:cs="Times New Roman"/>
              <w:b/>
              <w:szCs w:val="24"/>
              <w:u w:val="single"/>
            </w:rPr>
            <w:t>RULEMAKING AUTHORITY</w:t>
          </w:r>
        </w:sdtContent>
      </w:sdt>
    </w:p>
    <w:p w:rsidR="009F35E6" w:rsidRPr="006529C4" w:rsidRDefault="009F35E6" w:rsidP="00774EC7">
      <w:pPr>
        <w:spacing w:after="0" w:line="240" w:lineRule="auto"/>
        <w:jc w:val="both"/>
        <w:rPr>
          <w:rFonts w:cs="Times New Roman"/>
          <w:szCs w:val="24"/>
        </w:rPr>
      </w:pPr>
    </w:p>
    <w:p w:rsidR="009F35E6" w:rsidRPr="006529C4" w:rsidRDefault="009F35E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35E6" w:rsidRPr="006529C4" w:rsidRDefault="009F35E6" w:rsidP="00774EC7">
      <w:pPr>
        <w:spacing w:after="0" w:line="240" w:lineRule="auto"/>
        <w:jc w:val="both"/>
        <w:rPr>
          <w:rFonts w:cs="Times New Roman"/>
          <w:szCs w:val="24"/>
        </w:rPr>
      </w:pPr>
    </w:p>
    <w:p w:rsidR="009F35E6" w:rsidRPr="005C2A78" w:rsidRDefault="009F35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D24CAA63574306AAF8B544F45DC2EA"/>
          </w:placeholder>
        </w:sdtPr>
        <w:sdtContent>
          <w:r>
            <w:rPr>
              <w:rFonts w:eastAsia="Times New Roman" w:cs="Times New Roman"/>
              <w:b/>
              <w:szCs w:val="24"/>
              <w:u w:val="single"/>
            </w:rPr>
            <w:t>SECTION BY SECTION ANALYSIS</w:t>
          </w:r>
        </w:sdtContent>
      </w:sdt>
    </w:p>
    <w:p w:rsidR="009F35E6" w:rsidRPr="005C2A78" w:rsidRDefault="009F35E6" w:rsidP="007776C9">
      <w:pPr>
        <w:spacing w:after="0" w:line="240" w:lineRule="auto"/>
        <w:jc w:val="both"/>
        <w:rPr>
          <w:rFonts w:eastAsia="Times New Roman" w:cs="Times New Roman"/>
          <w:szCs w:val="24"/>
        </w:rPr>
      </w:pPr>
    </w:p>
    <w:p w:rsidR="009F35E6" w:rsidRDefault="009F35E6" w:rsidP="007776C9">
      <w:pPr>
        <w:spacing w:line="240" w:lineRule="auto"/>
        <w:jc w:val="both"/>
      </w:pPr>
      <w:r w:rsidRPr="005C2A78">
        <w:rPr>
          <w:rFonts w:eastAsia="Times New Roman" w:cs="Times New Roman"/>
          <w:szCs w:val="24"/>
        </w:rPr>
        <w:t>SECTION 1.</w:t>
      </w:r>
      <w:r w:rsidRPr="005608EC">
        <w:t xml:space="preserve"> </w:t>
      </w:r>
      <w:r>
        <w:t>Amends Section 54.014, Education Code, by amending Subsection (a) and adding Subsections (a-1) and (a-2), as follows:</w:t>
      </w:r>
    </w:p>
    <w:p w:rsidR="009F35E6" w:rsidRPr="005608EC" w:rsidRDefault="009F35E6" w:rsidP="007776C9">
      <w:pPr>
        <w:spacing w:line="240" w:lineRule="auto"/>
        <w:ind w:left="720"/>
        <w:jc w:val="both"/>
      </w:pPr>
      <w:r>
        <w:t xml:space="preserve">(a)  Authorizes an institution of higher education to charge a resident undergraduate student tuition at a higher rate than the rate charged to other resident undergraduate students, not to exceed the rate charged to nonresident undergraduate students, if before the semester or other academic session begins the student has previously attempted a number of semester credit hours for courses taken at any institution of higher education while classified as a resident student for tuition purposes that exceeds the number of semester credit hours required for completion of the degree program in which the student is enrolled </w:t>
      </w:r>
      <w:r w:rsidRPr="005608EC">
        <w:t>by at least:</w:t>
      </w:r>
    </w:p>
    <w:p w:rsidR="009F35E6" w:rsidRPr="005608EC" w:rsidRDefault="009F35E6" w:rsidP="007776C9">
      <w:pPr>
        <w:spacing w:line="240" w:lineRule="auto"/>
        <w:ind w:firstLine="1440"/>
        <w:jc w:val="both"/>
      </w:pPr>
      <w:r w:rsidRPr="005608EC">
        <w:t>(1)  for an associate degree program, 15 hours; or</w:t>
      </w:r>
    </w:p>
    <w:p w:rsidR="009F35E6" w:rsidRDefault="009F35E6" w:rsidP="007776C9">
      <w:pPr>
        <w:spacing w:line="240" w:lineRule="auto"/>
        <w:ind w:firstLine="1440"/>
        <w:jc w:val="both"/>
      </w:pPr>
      <w:r w:rsidRPr="005608EC">
        <w:t>(2)  for a baccalaureate degree program, 30 hours.</w:t>
      </w:r>
    </w:p>
    <w:p w:rsidR="009F35E6" w:rsidRPr="003F08C2" w:rsidRDefault="009F35E6" w:rsidP="007776C9">
      <w:pPr>
        <w:spacing w:line="240" w:lineRule="auto"/>
        <w:ind w:left="720"/>
        <w:jc w:val="both"/>
      </w:pPr>
      <w:r>
        <w:t>Deletes existing text authorizing a higher tuition rate to be charged to a resident undergraduate student who has previously attempted a number of semester credit hours that exceeds by at least 30 hours the number of semester credit hours required for completion of the degree program.</w:t>
      </w:r>
    </w:p>
    <w:p w:rsidR="009F35E6" w:rsidRPr="005608EC" w:rsidRDefault="009F35E6" w:rsidP="007776C9">
      <w:pPr>
        <w:spacing w:line="240" w:lineRule="auto"/>
        <w:ind w:left="720"/>
        <w:jc w:val="both"/>
      </w:pPr>
      <w:r w:rsidRPr="005608EC">
        <w:t>(a-1)  </w:t>
      </w:r>
      <w:r>
        <w:t>Creates this subsection from existing text. Provides that</w:t>
      </w:r>
      <w:r w:rsidRPr="005608EC">
        <w:t xml:space="preserve"> an undergraduate student</w:t>
      </w:r>
      <w:r>
        <w:t>, f</w:t>
      </w:r>
      <w:r w:rsidRPr="005608EC">
        <w:t>or purposes of Subsection (a)</w:t>
      </w:r>
      <w:r>
        <w:t>,</w:t>
      </w:r>
      <w:r w:rsidRPr="005608EC">
        <w:t xml:space="preserve"> who is not enrolled in a degree program is considered to be enrolled in a baccalaureate deg</w:t>
      </w:r>
      <w:r>
        <w:t>ree program. Deletes existing text providing that an undergraduate student who is not enrolled in a degree program is considered to be enrolled in a degree program or programs requiring</w:t>
      </w:r>
      <w:r w:rsidRPr="005608EC">
        <w:t xml:space="preserve"> a minimum of 120 semester credit hours, including minors and double majors, and for completion of any certificate or other special program in which the student is also enrolled, including a program with a study-abroad component</w:t>
      </w:r>
      <w:r>
        <w:t xml:space="preserve">. Makes nonsubstantive changes. </w:t>
      </w:r>
    </w:p>
    <w:p w:rsidR="009F35E6" w:rsidRDefault="009F35E6" w:rsidP="007776C9">
      <w:pPr>
        <w:spacing w:line="240" w:lineRule="auto"/>
        <w:ind w:firstLine="720"/>
        <w:jc w:val="both"/>
      </w:pPr>
      <w:r w:rsidRPr="005608EC">
        <w:t>(a-2)</w:t>
      </w:r>
      <w:r>
        <w:t xml:space="preserve">  Creates this subsection from existing text and makes a nonsubstantive change. </w:t>
      </w:r>
    </w:p>
    <w:p w:rsidR="009F35E6" w:rsidRDefault="009F35E6" w:rsidP="007776C9">
      <w:pPr>
        <w:spacing w:line="240" w:lineRule="auto"/>
        <w:jc w:val="both"/>
      </w:pPr>
      <w:r>
        <w:t>SECTION 2. Amends  Sections 61.0595(a) and (b), Education Code, as follows:</w:t>
      </w:r>
    </w:p>
    <w:p w:rsidR="009F35E6" w:rsidRPr="005608EC" w:rsidRDefault="009F35E6" w:rsidP="007776C9">
      <w:pPr>
        <w:spacing w:before="240" w:line="240" w:lineRule="auto"/>
        <w:ind w:left="720"/>
        <w:jc w:val="both"/>
      </w:pPr>
      <w:r>
        <w:t>(a)  Prohibits the Texas Higher Education Coordinating Board, in the formulas established under Section 61.059 (Appropriations), from including funding for semester credit hours earned by a resident undergraduate student who before the semester or other academic session begins has previously attempted a number of semester credit hours for courses taken at any institution of higher education while classified as a resident student for tuition purposes that exceeds the number of semester credit hours required for completion of the degree program or programs in which the student is enrolled, including minors and double majors, and for completion of any certificate or other special program in which the student is also enrolled, including a program with a study-abroad component</w:t>
      </w:r>
      <w:r w:rsidRPr="005608EC">
        <w:t>, by at least:</w:t>
      </w:r>
    </w:p>
    <w:p w:rsidR="009F35E6" w:rsidRPr="005608EC" w:rsidRDefault="009F35E6" w:rsidP="007776C9">
      <w:pPr>
        <w:spacing w:line="240" w:lineRule="auto"/>
        <w:ind w:firstLine="1440"/>
        <w:jc w:val="both"/>
      </w:pPr>
      <w:r w:rsidRPr="005608EC">
        <w:t>(1)  for an associate degree program, 15 hours; or</w:t>
      </w:r>
    </w:p>
    <w:p w:rsidR="009F35E6" w:rsidRDefault="009F35E6" w:rsidP="007776C9">
      <w:pPr>
        <w:spacing w:line="240" w:lineRule="auto"/>
        <w:ind w:firstLine="1440"/>
        <w:jc w:val="both"/>
      </w:pPr>
      <w:r w:rsidRPr="005608EC">
        <w:t>(2)  for a baccalaureate degree program, 30 hours.</w:t>
      </w:r>
    </w:p>
    <w:p w:rsidR="009F35E6" w:rsidRDefault="009F35E6" w:rsidP="007776C9">
      <w:pPr>
        <w:spacing w:line="240" w:lineRule="auto"/>
        <w:ind w:left="720"/>
        <w:jc w:val="both"/>
      </w:pPr>
      <w:r>
        <w:t xml:space="preserve"> (b)  Provides that for purposes of Subsection (a), an undergraduate student who is not enrolled in a degree program is considered to be enrolled in a </w:t>
      </w:r>
      <w:r w:rsidRPr="005608EC">
        <w:t>baccalaureate</w:t>
      </w:r>
      <w:r>
        <w:t xml:space="preserve"> degree program, rather than enrolled in a program </w:t>
      </w:r>
      <w:r w:rsidRPr="005608EC">
        <w:t>requiring a minimum of 120 semester credit hours</w:t>
      </w:r>
      <w:r>
        <w:t>.</w:t>
      </w:r>
    </w:p>
    <w:p w:rsidR="009F35E6" w:rsidRDefault="009F35E6" w:rsidP="007776C9">
      <w:pPr>
        <w:spacing w:line="240" w:lineRule="auto"/>
        <w:jc w:val="both"/>
      </w:pPr>
      <w:r>
        <w:t>SECTION 3.  Provides that Section 54.014, Education Code, as amended by this Act, applies beginning with tuition charged for the 2023 fall semester.</w:t>
      </w:r>
    </w:p>
    <w:p w:rsidR="009F35E6" w:rsidRDefault="009F35E6" w:rsidP="007776C9">
      <w:pPr>
        <w:spacing w:line="240" w:lineRule="auto"/>
        <w:jc w:val="both"/>
      </w:pPr>
      <w:r>
        <w:t>SECTION 4.  Provides that Section 61.0595, Education Code, as amended by this Act, applies beginning with funding recommendations made under Section 61.059, Education Code, for the state fiscal biennium beginning September 1, 2023.</w:t>
      </w:r>
    </w:p>
    <w:p w:rsidR="009F35E6" w:rsidRPr="005C2A78" w:rsidRDefault="009F35E6" w:rsidP="007776C9">
      <w:pPr>
        <w:spacing w:after="0" w:line="240" w:lineRule="auto"/>
        <w:jc w:val="both"/>
        <w:rPr>
          <w:rFonts w:eastAsia="Times New Roman" w:cs="Times New Roman"/>
          <w:szCs w:val="24"/>
        </w:rPr>
      </w:pPr>
      <w:r>
        <w:t>SECTION 5. Effective date: September 1, 2021.</w:t>
      </w:r>
    </w:p>
    <w:p w:rsidR="009F35E6" w:rsidRPr="00C8671F" w:rsidRDefault="009F35E6" w:rsidP="007776C9">
      <w:pPr>
        <w:spacing w:after="0" w:line="240" w:lineRule="auto"/>
        <w:jc w:val="both"/>
        <w:rPr>
          <w:rFonts w:eastAsia="Times New Roman" w:cs="Times New Roman"/>
          <w:szCs w:val="24"/>
        </w:rPr>
      </w:pPr>
      <w:r w:rsidRPr="005C2A78">
        <w:rPr>
          <w:rFonts w:eastAsia="Times New Roman" w:cs="Times New Roman"/>
          <w:szCs w:val="24"/>
        </w:rPr>
        <w:t xml:space="preserve"> </w:t>
      </w:r>
    </w:p>
    <w:sectPr w:rsidR="009F35E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8CE" w:rsidRDefault="008A78CE" w:rsidP="000F1DF9">
      <w:pPr>
        <w:spacing w:after="0" w:line="240" w:lineRule="auto"/>
      </w:pPr>
      <w:r>
        <w:separator/>
      </w:r>
    </w:p>
  </w:endnote>
  <w:endnote w:type="continuationSeparator" w:id="0">
    <w:p w:rsidR="008A78CE" w:rsidRDefault="008A78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78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35E6">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F35E6">
                <w:rPr>
                  <w:sz w:val="20"/>
                  <w:szCs w:val="20"/>
                </w:rPr>
                <w:t>S.B. 1531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F35E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78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35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35E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8CE" w:rsidRDefault="008A78CE" w:rsidP="000F1DF9">
      <w:pPr>
        <w:spacing w:after="0" w:line="240" w:lineRule="auto"/>
      </w:pPr>
      <w:r>
        <w:separator/>
      </w:r>
    </w:p>
  </w:footnote>
  <w:footnote w:type="continuationSeparator" w:id="0">
    <w:p w:rsidR="008A78CE" w:rsidRDefault="008A78C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A78CE"/>
    <w:rsid w:val="0093341F"/>
    <w:rsid w:val="009562E3"/>
    <w:rsid w:val="00986E9F"/>
    <w:rsid w:val="009F35E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9875E"/>
  <w15:docId w15:val="{FD6DE515-5F0B-4A4F-824A-86063E29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35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6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CBEF9601C14D429113B0A1FD98C754"/>
        <w:category>
          <w:name w:val="General"/>
          <w:gallery w:val="placeholder"/>
        </w:category>
        <w:types>
          <w:type w:val="bbPlcHdr"/>
        </w:types>
        <w:behaviors>
          <w:behavior w:val="content"/>
        </w:behaviors>
        <w:guid w:val="{246002D5-F278-4522-A623-FC436DCCE90E}"/>
      </w:docPartPr>
      <w:docPartBody>
        <w:p w:rsidR="00000000" w:rsidRDefault="00ED0088"/>
      </w:docPartBody>
    </w:docPart>
    <w:docPart>
      <w:docPartPr>
        <w:name w:val="0389803E44D341F2A5C7E11BF6C6460C"/>
        <w:category>
          <w:name w:val="General"/>
          <w:gallery w:val="placeholder"/>
        </w:category>
        <w:types>
          <w:type w:val="bbPlcHdr"/>
        </w:types>
        <w:behaviors>
          <w:behavior w:val="content"/>
        </w:behaviors>
        <w:guid w:val="{DA02A61E-7E77-4384-9599-B10FDFD9D752}"/>
      </w:docPartPr>
      <w:docPartBody>
        <w:p w:rsidR="00000000" w:rsidRDefault="00ED0088"/>
      </w:docPartBody>
    </w:docPart>
    <w:docPart>
      <w:docPartPr>
        <w:name w:val="F6F911E4EFAC4B8F8C4672A231C7FD29"/>
        <w:category>
          <w:name w:val="General"/>
          <w:gallery w:val="placeholder"/>
        </w:category>
        <w:types>
          <w:type w:val="bbPlcHdr"/>
        </w:types>
        <w:behaviors>
          <w:behavior w:val="content"/>
        </w:behaviors>
        <w:guid w:val="{5A178C7C-68EB-48AF-8132-73A4E76173B7}"/>
      </w:docPartPr>
      <w:docPartBody>
        <w:p w:rsidR="00000000" w:rsidRDefault="00ED0088"/>
      </w:docPartBody>
    </w:docPart>
    <w:docPart>
      <w:docPartPr>
        <w:name w:val="A90D4991DA5940AAB9F046F1A84EA555"/>
        <w:category>
          <w:name w:val="General"/>
          <w:gallery w:val="placeholder"/>
        </w:category>
        <w:types>
          <w:type w:val="bbPlcHdr"/>
        </w:types>
        <w:behaviors>
          <w:behavior w:val="content"/>
        </w:behaviors>
        <w:guid w:val="{C855B53B-2D8D-405B-8826-28EEAE4D490F}"/>
      </w:docPartPr>
      <w:docPartBody>
        <w:p w:rsidR="00000000" w:rsidRDefault="00ED0088"/>
      </w:docPartBody>
    </w:docPart>
    <w:docPart>
      <w:docPartPr>
        <w:name w:val="44C2BD15EEC548ACB459E2AEF074B6A2"/>
        <w:category>
          <w:name w:val="General"/>
          <w:gallery w:val="placeholder"/>
        </w:category>
        <w:types>
          <w:type w:val="bbPlcHdr"/>
        </w:types>
        <w:behaviors>
          <w:behavior w:val="content"/>
        </w:behaviors>
        <w:guid w:val="{B54BD6A8-FE19-4CF6-9AB7-9C50563FE51B}"/>
      </w:docPartPr>
      <w:docPartBody>
        <w:p w:rsidR="00000000" w:rsidRDefault="00ED0088"/>
      </w:docPartBody>
    </w:docPart>
    <w:docPart>
      <w:docPartPr>
        <w:name w:val="668C852E6B3B4D77BFBC438E266E1248"/>
        <w:category>
          <w:name w:val="General"/>
          <w:gallery w:val="placeholder"/>
        </w:category>
        <w:types>
          <w:type w:val="bbPlcHdr"/>
        </w:types>
        <w:behaviors>
          <w:behavior w:val="content"/>
        </w:behaviors>
        <w:guid w:val="{6DA7F3EE-C932-4ECE-BF83-1DEC60F5DF18}"/>
      </w:docPartPr>
      <w:docPartBody>
        <w:p w:rsidR="00000000" w:rsidRDefault="00ED0088"/>
      </w:docPartBody>
    </w:docPart>
    <w:docPart>
      <w:docPartPr>
        <w:name w:val="1E23DAD9A067451DBF4EA91AF8D39908"/>
        <w:category>
          <w:name w:val="General"/>
          <w:gallery w:val="placeholder"/>
        </w:category>
        <w:types>
          <w:type w:val="bbPlcHdr"/>
        </w:types>
        <w:behaviors>
          <w:behavior w:val="content"/>
        </w:behaviors>
        <w:guid w:val="{D0FE36CC-BF36-4233-822F-C8F176D97587}"/>
      </w:docPartPr>
      <w:docPartBody>
        <w:p w:rsidR="00000000" w:rsidRDefault="00ED0088"/>
      </w:docPartBody>
    </w:docPart>
    <w:docPart>
      <w:docPartPr>
        <w:name w:val="FF1FF9EB02D043C4AF47EF34191DF8DE"/>
        <w:category>
          <w:name w:val="General"/>
          <w:gallery w:val="placeholder"/>
        </w:category>
        <w:types>
          <w:type w:val="bbPlcHdr"/>
        </w:types>
        <w:behaviors>
          <w:behavior w:val="content"/>
        </w:behaviors>
        <w:guid w:val="{11F6DD54-6C29-450A-8AF5-E8D845CAA578}"/>
      </w:docPartPr>
      <w:docPartBody>
        <w:p w:rsidR="00000000" w:rsidRDefault="00ED0088"/>
      </w:docPartBody>
    </w:docPart>
    <w:docPart>
      <w:docPartPr>
        <w:name w:val="DD5D20C00C22437EBE8F65D12AC35DCA"/>
        <w:category>
          <w:name w:val="General"/>
          <w:gallery w:val="placeholder"/>
        </w:category>
        <w:types>
          <w:type w:val="bbPlcHdr"/>
        </w:types>
        <w:behaviors>
          <w:behavior w:val="content"/>
        </w:behaviors>
        <w:guid w:val="{741915F2-C038-49E6-9A10-5F9F8B46CDA7}"/>
      </w:docPartPr>
      <w:docPartBody>
        <w:p w:rsidR="00000000" w:rsidRDefault="00ED0088"/>
      </w:docPartBody>
    </w:docPart>
    <w:docPart>
      <w:docPartPr>
        <w:name w:val="A9887DC25E584EFC86566E2A4FD7C764"/>
        <w:category>
          <w:name w:val="General"/>
          <w:gallery w:val="placeholder"/>
        </w:category>
        <w:types>
          <w:type w:val="bbPlcHdr"/>
        </w:types>
        <w:behaviors>
          <w:behavior w:val="content"/>
        </w:behaviors>
        <w:guid w:val="{95244EE6-E331-40FF-99C0-64E9D0AD2616}"/>
      </w:docPartPr>
      <w:docPartBody>
        <w:p w:rsidR="00000000" w:rsidRDefault="005B6249" w:rsidP="005B6249">
          <w:pPr>
            <w:pStyle w:val="A9887DC25E584EFC86566E2A4FD7C764"/>
          </w:pPr>
          <w:r w:rsidRPr="00A30DD1">
            <w:rPr>
              <w:rStyle w:val="PlaceholderText"/>
            </w:rPr>
            <w:t>Click here to enter a date.</w:t>
          </w:r>
        </w:p>
      </w:docPartBody>
    </w:docPart>
    <w:docPart>
      <w:docPartPr>
        <w:name w:val="8EC71B053ECE410BBF3E5A0113495067"/>
        <w:category>
          <w:name w:val="General"/>
          <w:gallery w:val="placeholder"/>
        </w:category>
        <w:types>
          <w:type w:val="bbPlcHdr"/>
        </w:types>
        <w:behaviors>
          <w:behavior w:val="content"/>
        </w:behaviors>
        <w:guid w:val="{A304BF17-0AA9-4E7B-8334-5B7056A81E2E}"/>
      </w:docPartPr>
      <w:docPartBody>
        <w:p w:rsidR="00000000" w:rsidRDefault="00ED0088"/>
      </w:docPartBody>
    </w:docPart>
    <w:docPart>
      <w:docPartPr>
        <w:name w:val="0FEF5C7B48B44A8EAD57C3EF689DC139"/>
        <w:category>
          <w:name w:val="General"/>
          <w:gallery w:val="placeholder"/>
        </w:category>
        <w:types>
          <w:type w:val="bbPlcHdr"/>
        </w:types>
        <w:behaviors>
          <w:behavior w:val="content"/>
        </w:behaviors>
        <w:guid w:val="{BE99C00B-37B0-4E49-946A-F0E036ED20D2}"/>
      </w:docPartPr>
      <w:docPartBody>
        <w:p w:rsidR="00000000" w:rsidRDefault="00ED0088"/>
      </w:docPartBody>
    </w:docPart>
    <w:docPart>
      <w:docPartPr>
        <w:name w:val="999C51339C86438FAE13854318B75028"/>
        <w:category>
          <w:name w:val="General"/>
          <w:gallery w:val="placeholder"/>
        </w:category>
        <w:types>
          <w:type w:val="bbPlcHdr"/>
        </w:types>
        <w:behaviors>
          <w:behavior w:val="content"/>
        </w:behaviors>
        <w:guid w:val="{33A837C5-6411-4EDD-8881-E540166473B2}"/>
      </w:docPartPr>
      <w:docPartBody>
        <w:p w:rsidR="00000000" w:rsidRDefault="005B6249" w:rsidP="005B6249">
          <w:pPr>
            <w:pStyle w:val="999C51339C86438FAE13854318B75028"/>
          </w:pPr>
          <w:r>
            <w:rPr>
              <w:rFonts w:eastAsia="Times New Roman" w:cs="Times New Roman"/>
              <w:bCs/>
              <w:szCs w:val="24"/>
            </w:rPr>
            <w:t xml:space="preserve"> </w:t>
          </w:r>
        </w:p>
      </w:docPartBody>
    </w:docPart>
    <w:docPart>
      <w:docPartPr>
        <w:name w:val="706540DE1B9A45A3AA0436E77061C05A"/>
        <w:category>
          <w:name w:val="General"/>
          <w:gallery w:val="placeholder"/>
        </w:category>
        <w:types>
          <w:type w:val="bbPlcHdr"/>
        </w:types>
        <w:behaviors>
          <w:behavior w:val="content"/>
        </w:behaviors>
        <w:guid w:val="{0C13C8F6-BD12-4A87-B896-45AF0052DDF4}"/>
      </w:docPartPr>
      <w:docPartBody>
        <w:p w:rsidR="00000000" w:rsidRDefault="00ED0088"/>
      </w:docPartBody>
    </w:docPart>
    <w:docPart>
      <w:docPartPr>
        <w:name w:val="00D24CAA63574306AAF8B544F45DC2EA"/>
        <w:category>
          <w:name w:val="General"/>
          <w:gallery w:val="placeholder"/>
        </w:category>
        <w:types>
          <w:type w:val="bbPlcHdr"/>
        </w:types>
        <w:behaviors>
          <w:behavior w:val="content"/>
        </w:behaviors>
        <w:guid w:val="{380CBC6F-A8C5-4327-B7D4-E52A440C0372}"/>
      </w:docPartPr>
      <w:docPartBody>
        <w:p w:rsidR="00000000" w:rsidRDefault="00ED00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B6249"/>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008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2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9887DC25E584EFC86566E2A4FD7C764">
    <w:name w:val="A9887DC25E584EFC86566E2A4FD7C764"/>
    <w:rsid w:val="005B6249"/>
    <w:pPr>
      <w:spacing w:after="160" w:line="259" w:lineRule="auto"/>
    </w:pPr>
  </w:style>
  <w:style w:type="paragraph" w:customStyle="1" w:styleId="999C51339C86438FAE13854318B75028">
    <w:name w:val="999C51339C86438FAE13854318B75028"/>
    <w:rsid w:val="005B62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39156C-CD0E-4571-9F9C-B035B468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967</Words>
  <Characters>5512</Characters>
  <Application>Microsoft Office Word</Application>
  <DocSecurity>0</DocSecurity>
  <Lines>45</Lines>
  <Paragraphs>12</Paragraphs>
  <ScaleCrop>false</ScaleCrop>
  <Company>Texas Legislative Council</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2021-03-29T13:30:00Z</dcterms:modified>
</cp:coreProperties>
</file>

<file path=docProps/custom.xml><?xml version="1.0" encoding="utf-8"?>
<op:Properties xmlns:vt="http://schemas.openxmlformats.org/officeDocument/2006/docPropsVTypes" xmlns:op="http://schemas.openxmlformats.org/officeDocument/2006/custom-properties"/>
</file>