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C88" w14:paraId="2324F07F" w14:textId="77777777" w:rsidTr="00345119">
        <w:tc>
          <w:tcPr>
            <w:tcW w:w="9576" w:type="dxa"/>
            <w:noWrap/>
          </w:tcPr>
          <w:p w14:paraId="77D78C0E" w14:textId="77777777" w:rsidR="008423E4" w:rsidRPr="0022177D" w:rsidRDefault="001F40C7" w:rsidP="00C423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B2AF1E8" w14:textId="77777777" w:rsidR="008423E4" w:rsidRPr="00C42375" w:rsidRDefault="008423E4" w:rsidP="00C42375">
      <w:pPr>
        <w:jc w:val="center"/>
        <w:rPr>
          <w:sz w:val="20"/>
        </w:rPr>
      </w:pPr>
    </w:p>
    <w:p w14:paraId="198F2CD9" w14:textId="77777777" w:rsidR="008423E4" w:rsidRPr="00C42375" w:rsidRDefault="008423E4" w:rsidP="00C42375">
      <w:pPr>
        <w:rPr>
          <w:sz w:val="20"/>
        </w:rPr>
      </w:pPr>
    </w:p>
    <w:p w14:paraId="24B832F6" w14:textId="77777777" w:rsidR="008423E4" w:rsidRPr="00C42375" w:rsidRDefault="008423E4" w:rsidP="00C42375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C88" w14:paraId="7A117FDE" w14:textId="77777777" w:rsidTr="00345119">
        <w:tc>
          <w:tcPr>
            <w:tcW w:w="9576" w:type="dxa"/>
          </w:tcPr>
          <w:p w14:paraId="4987CEB3" w14:textId="6A6D290C" w:rsidR="008423E4" w:rsidRPr="00861995" w:rsidRDefault="001F40C7" w:rsidP="00C42375">
            <w:pPr>
              <w:jc w:val="right"/>
            </w:pPr>
            <w:r>
              <w:t>S.B. 1677</w:t>
            </w:r>
          </w:p>
        </w:tc>
      </w:tr>
      <w:tr w:rsidR="006F6C88" w14:paraId="59D3A7B3" w14:textId="77777777" w:rsidTr="00345119">
        <w:tc>
          <w:tcPr>
            <w:tcW w:w="9576" w:type="dxa"/>
          </w:tcPr>
          <w:p w14:paraId="0C63557F" w14:textId="3C668355" w:rsidR="008423E4" w:rsidRPr="00861995" w:rsidRDefault="001F40C7" w:rsidP="00C42375">
            <w:pPr>
              <w:jc w:val="right"/>
            </w:pPr>
            <w:r>
              <w:t xml:space="preserve">By: </w:t>
            </w:r>
            <w:r w:rsidR="005530FD">
              <w:t>Buckingham</w:t>
            </w:r>
          </w:p>
        </w:tc>
      </w:tr>
      <w:tr w:rsidR="006F6C88" w14:paraId="4272A4F6" w14:textId="77777777" w:rsidTr="00345119">
        <w:tc>
          <w:tcPr>
            <w:tcW w:w="9576" w:type="dxa"/>
          </w:tcPr>
          <w:p w14:paraId="27D57192" w14:textId="113694C8" w:rsidR="008423E4" w:rsidRPr="00861995" w:rsidRDefault="001F40C7" w:rsidP="00C42375">
            <w:pPr>
              <w:jc w:val="right"/>
            </w:pPr>
            <w:r>
              <w:t>Higher Education</w:t>
            </w:r>
          </w:p>
        </w:tc>
      </w:tr>
      <w:tr w:rsidR="006F6C88" w14:paraId="0936D87D" w14:textId="77777777" w:rsidTr="00345119">
        <w:tc>
          <w:tcPr>
            <w:tcW w:w="9576" w:type="dxa"/>
          </w:tcPr>
          <w:p w14:paraId="432F50AD" w14:textId="7D2A29B8" w:rsidR="008423E4" w:rsidRDefault="001F40C7" w:rsidP="00C42375">
            <w:pPr>
              <w:jc w:val="right"/>
            </w:pPr>
            <w:r>
              <w:t>Committee Report (Unamended)</w:t>
            </w:r>
          </w:p>
        </w:tc>
      </w:tr>
    </w:tbl>
    <w:p w14:paraId="181BEC82" w14:textId="77777777" w:rsidR="008423E4" w:rsidRPr="00C42375" w:rsidRDefault="008423E4" w:rsidP="00C42375">
      <w:pPr>
        <w:tabs>
          <w:tab w:val="right" w:pos="9360"/>
        </w:tabs>
        <w:rPr>
          <w:sz w:val="20"/>
        </w:rPr>
      </w:pPr>
    </w:p>
    <w:p w14:paraId="024CFA71" w14:textId="77777777" w:rsidR="008423E4" w:rsidRPr="00C42375" w:rsidRDefault="008423E4" w:rsidP="00C42375">
      <w:pPr>
        <w:rPr>
          <w:sz w:val="20"/>
        </w:rPr>
      </w:pPr>
    </w:p>
    <w:p w14:paraId="5E3071E7" w14:textId="77777777" w:rsidR="008423E4" w:rsidRPr="00C42375" w:rsidRDefault="008423E4" w:rsidP="00C42375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C88" w14:paraId="405650B9" w14:textId="77777777" w:rsidTr="00345119">
        <w:tc>
          <w:tcPr>
            <w:tcW w:w="9576" w:type="dxa"/>
          </w:tcPr>
          <w:p w14:paraId="038E953F" w14:textId="77777777" w:rsidR="008423E4" w:rsidRPr="00A8133F" w:rsidRDefault="001F40C7" w:rsidP="00C423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0052B4" w14:textId="77777777" w:rsidR="008423E4" w:rsidRPr="00C42375" w:rsidRDefault="008423E4" w:rsidP="00C42375">
            <w:pPr>
              <w:rPr>
                <w:sz w:val="20"/>
              </w:rPr>
            </w:pPr>
          </w:p>
          <w:p w14:paraId="31404A1A" w14:textId="0B96270E" w:rsidR="008423E4" w:rsidRDefault="001F40C7" w:rsidP="00C42375">
            <w:pPr>
              <w:pStyle w:val="Header"/>
              <w:jc w:val="both"/>
            </w:pPr>
            <w:r>
              <w:t xml:space="preserve">Concerns have been raised regarding the abundance of data collection and reporting requirements for </w:t>
            </w:r>
            <w:r w:rsidR="00CB1260">
              <w:t xml:space="preserve">public </w:t>
            </w:r>
            <w:r>
              <w:t xml:space="preserve">institutions of higher education. </w:t>
            </w:r>
            <w:r w:rsidR="001003A4">
              <w:t xml:space="preserve">Although the collection and reporting of higher education data is critical for policy and institutional decision-making, there are circumstances in which reporting requirements are duplicative or redundant, leading to increasing inefficiency over time. </w:t>
            </w:r>
            <w:r>
              <w:t xml:space="preserve">There have been calls to limit and reduce </w:t>
            </w:r>
            <w:r w:rsidR="001003A4">
              <w:t>the administrative burden on institutions</w:t>
            </w:r>
            <w:r>
              <w:t xml:space="preserve"> by authorizing the Texas Higher Education Coordinating Board </w:t>
            </w:r>
            <w:r w:rsidR="00D43CCF">
              <w:t>to consolidate and streamline</w:t>
            </w:r>
            <w:r>
              <w:t xml:space="preserve"> </w:t>
            </w:r>
            <w:r w:rsidR="001003A4">
              <w:t xml:space="preserve">reporting </w:t>
            </w:r>
            <w:r w:rsidR="00D43CCF">
              <w:t xml:space="preserve">requirements through rule. </w:t>
            </w:r>
            <w:r w:rsidR="00E57AFF">
              <w:t>S.B. 1677</w:t>
            </w:r>
            <w:r>
              <w:t xml:space="preserve"> see</w:t>
            </w:r>
            <w:r>
              <w:t xml:space="preserve">ks to </w:t>
            </w:r>
            <w:r w:rsidR="001003A4">
              <w:t>provide that authority and to eliminate certain duplicative requirements</w:t>
            </w:r>
            <w:r w:rsidR="00D43CCF">
              <w:t>.</w:t>
            </w:r>
          </w:p>
          <w:p w14:paraId="0A678497" w14:textId="77777777" w:rsidR="008423E4" w:rsidRPr="00E26B13" w:rsidRDefault="008423E4" w:rsidP="00C42375">
            <w:pPr>
              <w:rPr>
                <w:b/>
              </w:rPr>
            </w:pPr>
          </w:p>
        </w:tc>
      </w:tr>
      <w:tr w:rsidR="006F6C88" w14:paraId="35DE9D38" w14:textId="77777777" w:rsidTr="00345119">
        <w:tc>
          <w:tcPr>
            <w:tcW w:w="9576" w:type="dxa"/>
          </w:tcPr>
          <w:p w14:paraId="4A63A811" w14:textId="77777777" w:rsidR="0017725B" w:rsidRDefault="001F40C7" w:rsidP="00C423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336C5D" w14:textId="77777777" w:rsidR="0017725B" w:rsidRPr="00C42375" w:rsidRDefault="0017725B" w:rsidP="00C42375">
            <w:pPr>
              <w:rPr>
                <w:b/>
                <w:sz w:val="20"/>
                <w:u w:val="single"/>
              </w:rPr>
            </w:pPr>
          </w:p>
          <w:p w14:paraId="0BD123F9" w14:textId="77777777" w:rsidR="00D43CCF" w:rsidRPr="00D43CCF" w:rsidRDefault="001F40C7" w:rsidP="00C42375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14:paraId="715DC86B" w14:textId="77777777" w:rsidR="0017725B" w:rsidRPr="0017725B" w:rsidRDefault="0017725B" w:rsidP="00C42375">
            <w:pPr>
              <w:rPr>
                <w:b/>
                <w:u w:val="single"/>
              </w:rPr>
            </w:pPr>
          </w:p>
        </w:tc>
      </w:tr>
      <w:tr w:rsidR="006F6C88" w14:paraId="0FE04421" w14:textId="77777777" w:rsidTr="00345119">
        <w:tc>
          <w:tcPr>
            <w:tcW w:w="9576" w:type="dxa"/>
          </w:tcPr>
          <w:p w14:paraId="384239FF" w14:textId="77777777" w:rsidR="008423E4" w:rsidRPr="00A8133F" w:rsidRDefault="001F40C7" w:rsidP="00C423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B7BE81" w14:textId="77777777" w:rsidR="008423E4" w:rsidRDefault="008423E4" w:rsidP="00C42375"/>
          <w:p w14:paraId="27145705" w14:textId="224B8AFF" w:rsidR="00555CA5" w:rsidRDefault="001F40C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</w:t>
            </w:r>
            <w:r>
              <w:t xml:space="preserve">oordinating Board in SECTION </w:t>
            </w:r>
            <w:r w:rsidR="005B6F6A">
              <w:t xml:space="preserve">2 </w:t>
            </w:r>
            <w:r>
              <w:t>of this bill.</w:t>
            </w:r>
          </w:p>
          <w:p w14:paraId="525B33D5" w14:textId="77777777" w:rsidR="008423E4" w:rsidRPr="00E21FDC" w:rsidRDefault="008423E4" w:rsidP="00C42375">
            <w:pPr>
              <w:rPr>
                <w:b/>
              </w:rPr>
            </w:pPr>
          </w:p>
        </w:tc>
      </w:tr>
      <w:tr w:rsidR="006F6C88" w14:paraId="6D7FB03F" w14:textId="77777777" w:rsidTr="00345119">
        <w:tc>
          <w:tcPr>
            <w:tcW w:w="9576" w:type="dxa"/>
          </w:tcPr>
          <w:p w14:paraId="29A25FFC" w14:textId="77777777" w:rsidR="008423E4" w:rsidRPr="00A8133F" w:rsidRDefault="001F40C7" w:rsidP="00C423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54910A6" w14:textId="77777777" w:rsidR="008423E4" w:rsidRDefault="008423E4" w:rsidP="00C42375"/>
          <w:p w14:paraId="57C849F0" w14:textId="6C911F00" w:rsidR="004F3253" w:rsidRDefault="001F40C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1677</w:t>
            </w:r>
            <w:r w:rsidR="00D43CCF">
              <w:t xml:space="preserve"> amends the Education Code to </w:t>
            </w:r>
            <w:r w:rsidR="00BC7927">
              <w:t>authorize the Texas Higher Education Coordinating Board (THECB)</w:t>
            </w:r>
            <w:r w:rsidR="002C7937">
              <w:t xml:space="preserve"> to eliminate </w:t>
            </w:r>
            <w:r w:rsidR="000B7C86">
              <w:t>by rule a reporting requirement under which the THECB collects or receives data or information for purposes of inclusion in a report required by the Education Code</w:t>
            </w:r>
            <w:r w:rsidR="00BC7927">
              <w:t xml:space="preserve"> if the commissioner of higher education determines that the THECB has access to an alternative means of collecting data or receiving information </w:t>
            </w:r>
            <w:r w:rsidR="000B7C86">
              <w:t>sufficient for that purpose</w:t>
            </w:r>
            <w:r w:rsidR="00BC7927">
              <w:t xml:space="preserve">. The bill repeals provisions relating to </w:t>
            </w:r>
            <w:r>
              <w:t>the following:</w:t>
            </w:r>
          </w:p>
          <w:p w14:paraId="238DFA64" w14:textId="165F25E9" w:rsidR="004F3253" w:rsidRDefault="001F40C7" w:rsidP="00C4237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Texas Education Agency and THECB plan to increase enrollment in public institutions of higher education from certain public school districts; and </w:t>
            </w:r>
          </w:p>
          <w:p w14:paraId="5BD1A856" w14:textId="56120BAC" w:rsidR="004F3253" w:rsidRDefault="001F40C7" w:rsidP="00C4237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annual </w:t>
            </w:r>
            <w:r w:rsidR="00BC7927">
              <w:t xml:space="preserve">affordability and access reports </w:t>
            </w:r>
            <w:r>
              <w:t xml:space="preserve">produced </w:t>
            </w:r>
            <w:r w:rsidR="00555CA5">
              <w:t xml:space="preserve">by </w:t>
            </w:r>
            <w:r>
              <w:t xml:space="preserve">each </w:t>
            </w:r>
            <w:r w:rsidR="00555CA5">
              <w:t>institution</w:t>
            </w:r>
            <w:r>
              <w:t xml:space="preserve"> of higher education</w:t>
            </w:r>
            <w:r w:rsidR="00555CA5">
              <w:t xml:space="preserve">. </w:t>
            </w:r>
          </w:p>
          <w:p w14:paraId="6F10A2CB" w14:textId="166321A9" w:rsidR="009C36CD" w:rsidRDefault="001F40C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removes </w:t>
            </w:r>
            <w:r w:rsidR="000E51AC">
              <w:t>a</w:t>
            </w:r>
            <w:r>
              <w:t xml:space="preserve"> requirement for the rules and regulations of each institution of higher education concerning faculty academic workloads to be included in th</w:t>
            </w:r>
            <w:r w:rsidR="00AF58EC">
              <w:t>ose</w:t>
            </w:r>
            <w:r>
              <w:t xml:space="preserve"> </w:t>
            </w:r>
            <w:r w:rsidR="00AF58EC">
              <w:t xml:space="preserve">institutions' </w:t>
            </w:r>
            <w:r>
              <w:t>operating budge</w:t>
            </w:r>
            <w:r w:rsidR="00AF58EC">
              <w:t>t</w:t>
            </w:r>
            <w:r>
              <w:t xml:space="preserve">s. </w:t>
            </w:r>
            <w:r w:rsidR="00555CA5">
              <w:t>The bill sets out certain legislative findings.</w:t>
            </w:r>
          </w:p>
          <w:p w14:paraId="75079E93" w14:textId="046DD3D2" w:rsidR="00E57AFF" w:rsidRDefault="00E57AFF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63C2CF" w14:textId="619B6F4A" w:rsidR="00E57AFF" w:rsidRDefault="001F40C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1677 repeals </w:t>
            </w:r>
            <w:r w:rsidR="00A418FD">
              <w:t xml:space="preserve">Section </w:t>
            </w:r>
            <w:r>
              <w:t>659.026, Government Code, which requires a</w:t>
            </w:r>
            <w:r w:rsidR="00A418FD">
              <w:t>n applicable</w:t>
            </w:r>
            <w:r>
              <w:t xml:space="preserve"> state agency to make available to the public certain information regarding staff compensation.</w:t>
            </w:r>
          </w:p>
          <w:p w14:paraId="6C423490" w14:textId="77777777" w:rsidR="00BC7927" w:rsidRDefault="00BC792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E76B07" w14:textId="740F2031" w:rsidR="00BC7927" w:rsidRDefault="001F40C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1677 repeals the following provisions of the E</w:t>
            </w:r>
            <w:r>
              <w:t>ducation Code:</w:t>
            </w:r>
          </w:p>
          <w:p w14:paraId="4301C8FB" w14:textId="77777777" w:rsidR="00BC7927" w:rsidRDefault="001F40C7" w:rsidP="00C4237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29.904; and</w:t>
            </w:r>
          </w:p>
          <w:p w14:paraId="36880C11" w14:textId="77777777" w:rsidR="00BC7927" w:rsidRPr="009C36CD" w:rsidRDefault="001F40C7" w:rsidP="00C4237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51.4031.</w:t>
            </w:r>
          </w:p>
          <w:p w14:paraId="1C43BB93" w14:textId="77777777" w:rsidR="008423E4" w:rsidRPr="00835628" w:rsidRDefault="008423E4" w:rsidP="00C42375">
            <w:pPr>
              <w:rPr>
                <w:b/>
              </w:rPr>
            </w:pPr>
          </w:p>
        </w:tc>
      </w:tr>
      <w:tr w:rsidR="006F6C88" w14:paraId="227BFD8F" w14:textId="77777777" w:rsidTr="00345119">
        <w:tc>
          <w:tcPr>
            <w:tcW w:w="9576" w:type="dxa"/>
          </w:tcPr>
          <w:p w14:paraId="5699436B" w14:textId="77777777" w:rsidR="008423E4" w:rsidRPr="00A8133F" w:rsidRDefault="001F40C7" w:rsidP="00C423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BC3451" w14:textId="77777777" w:rsidR="008423E4" w:rsidRPr="00C42375" w:rsidRDefault="008423E4" w:rsidP="00C42375">
            <w:pPr>
              <w:rPr>
                <w:sz w:val="20"/>
              </w:rPr>
            </w:pPr>
          </w:p>
          <w:p w14:paraId="493572A5" w14:textId="674BF5FA" w:rsidR="008423E4" w:rsidRPr="00C42375" w:rsidRDefault="001F40C7" w:rsidP="00C423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9BB13B8" w14:textId="77777777" w:rsidR="008423E4" w:rsidRPr="00C42375" w:rsidRDefault="008423E4" w:rsidP="00C42375">
      <w:pPr>
        <w:jc w:val="both"/>
        <w:rPr>
          <w:rFonts w:ascii="Arial" w:hAnsi="Arial"/>
          <w:sz w:val="4"/>
          <w:szCs w:val="16"/>
        </w:rPr>
      </w:pPr>
    </w:p>
    <w:sectPr w:rsidR="008423E4" w:rsidRPr="00C423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F37C" w14:textId="77777777" w:rsidR="00000000" w:rsidRDefault="001F40C7">
      <w:r>
        <w:separator/>
      </w:r>
    </w:p>
  </w:endnote>
  <w:endnote w:type="continuationSeparator" w:id="0">
    <w:p w14:paraId="357E76E5" w14:textId="77777777" w:rsidR="00000000" w:rsidRDefault="001F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DA2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C88" w14:paraId="36910875" w14:textId="77777777" w:rsidTr="009C1E9A">
      <w:trPr>
        <w:cantSplit/>
      </w:trPr>
      <w:tc>
        <w:tcPr>
          <w:tcW w:w="0" w:type="pct"/>
        </w:tcPr>
        <w:p w14:paraId="5D2F31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8405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E09D9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0967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D140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C88" w14:paraId="5ACF9A7D" w14:textId="77777777" w:rsidTr="009C1E9A">
      <w:trPr>
        <w:cantSplit/>
      </w:trPr>
      <w:tc>
        <w:tcPr>
          <w:tcW w:w="0" w:type="pct"/>
        </w:tcPr>
        <w:p w14:paraId="74FE3C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6E9B0C" w14:textId="410CF298" w:rsidR="00EC379B" w:rsidRPr="009C1E9A" w:rsidRDefault="001F40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24389</w:t>
          </w:r>
        </w:p>
      </w:tc>
      <w:tc>
        <w:tcPr>
          <w:tcW w:w="2453" w:type="pct"/>
        </w:tcPr>
        <w:p w14:paraId="263F05D6" w14:textId="5226A057" w:rsidR="00EC379B" w:rsidRDefault="001F40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A37C9">
            <w:t>21.127.716</w:t>
          </w:r>
          <w:r>
            <w:fldChar w:fldCharType="end"/>
          </w:r>
        </w:p>
      </w:tc>
    </w:tr>
    <w:tr w:rsidR="006F6C88" w14:paraId="52B00C84" w14:textId="77777777" w:rsidTr="009C1E9A">
      <w:trPr>
        <w:cantSplit/>
      </w:trPr>
      <w:tc>
        <w:tcPr>
          <w:tcW w:w="0" w:type="pct"/>
        </w:tcPr>
        <w:p w14:paraId="69668CA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2E6A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BCC6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0E6E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C88" w14:paraId="1F7EA8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DCFC85" w14:textId="017251F7" w:rsidR="00EC379B" w:rsidRDefault="001F40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4237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D048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04751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28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2167" w14:textId="77777777" w:rsidR="00000000" w:rsidRDefault="001F40C7">
      <w:r>
        <w:separator/>
      </w:r>
    </w:p>
  </w:footnote>
  <w:footnote w:type="continuationSeparator" w:id="0">
    <w:p w14:paraId="631D6874" w14:textId="77777777" w:rsidR="00000000" w:rsidRDefault="001F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7CF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B7A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8C8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14DF"/>
    <w:multiLevelType w:val="hybridMultilevel"/>
    <w:tmpl w:val="A978E76E"/>
    <w:lvl w:ilvl="0" w:tplc="F042C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CA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28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2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0A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AD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0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40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26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75EB"/>
    <w:multiLevelType w:val="hybridMultilevel"/>
    <w:tmpl w:val="009824C0"/>
    <w:lvl w:ilvl="0" w:tplc="6F302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3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2F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C2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26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E1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A5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86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26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C86"/>
    <w:rsid w:val="000B7D19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1AC"/>
    <w:rsid w:val="000E5B20"/>
    <w:rsid w:val="000E7C14"/>
    <w:rsid w:val="000F094C"/>
    <w:rsid w:val="000F18A2"/>
    <w:rsid w:val="000F2A7F"/>
    <w:rsid w:val="000F3DBD"/>
    <w:rsid w:val="000F5843"/>
    <w:rsid w:val="000F6A06"/>
    <w:rsid w:val="001003A4"/>
    <w:rsid w:val="0010154D"/>
    <w:rsid w:val="00102D3F"/>
    <w:rsid w:val="00102EC7"/>
    <w:rsid w:val="0010347D"/>
    <w:rsid w:val="00110F8C"/>
    <w:rsid w:val="0011274A"/>
    <w:rsid w:val="00113522"/>
    <w:rsid w:val="0011378D"/>
    <w:rsid w:val="00114622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D6F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287"/>
    <w:rsid w:val="001D462E"/>
    <w:rsid w:val="001E2CAD"/>
    <w:rsid w:val="001E34DB"/>
    <w:rsid w:val="001E37CD"/>
    <w:rsid w:val="001E4070"/>
    <w:rsid w:val="001E655E"/>
    <w:rsid w:val="001F3CB8"/>
    <w:rsid w:val="001F40C7"/>
    <w:rsid w:val="001F6B91"/>
    <w:rsid w:val="001F703C"/>
    <w:rsid w:val="00200B9E"/>
    <w:rsid w:val="00200BF5"/>
    <w:rsid w:val="002010D1"/>
    <w:rsid w:val="00201338"/>
    <w:rsid w:val="0020775D"/>
    <w:rsid w:val="00211162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004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937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7C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5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0FD"/>
    <w:rsid w:val="00555034"/>
    <w:rsid w:val="00555CA5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F6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444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B82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C8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590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930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DC4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0B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BD1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8FD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FCE"/>
    <w:rsid w:val="00AD1E52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8EC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927"/>
    <w:rsid w:val="00BD0A32"/>
    <w:rsid w:val="00BD19D9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37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D6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260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C94"/>
    <w:rsid w:val="00D30534"/>
    <w:rsid w:val="00D35728"/>
    <w:rsid w:val="00D37BCF"/>
    <w:rsid w:val="00D40F93"/>
    <w:rsid w:val="00D42277"/>
    <w:rsid w:val="00D43C59"/>
    <w:rsid w:val="00D43CCF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B91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AFF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8A6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B36"/>
    <w:rsid w:val="00FD1B4B"/>
    <w:rsid w:val="00FD1B94"/>
    <w:rsid w:val="00FE19C5"/>
    <w:rsid w:val="00FE4286"/>
    <w:rsid w:val="00FE48C3"/>
    <w:rsid w:val="00FE5909"/>
    <w:rsid w:val="00FE652E"/>
    <w:rsid w:val="00FE71FE"/>
    <w:rsid w:val="00FF0148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8F0706-C615-4099-A08A-454A11E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79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9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4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SB01677 (Committee Report (Unamended))</vt:lpstr>
    </vt:vector>
  </TitlesOfParts>
  <Company>State of Texas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24389</dc:subject>
  <dc:creator>State of Texas</dc:creator>
  <dc:description>SB 1677 by Buckingham-(H)Higher Education</dc:description>
  <cp:lastModifiedBy>Stacey Nicchio</cp:lastModifiedBy>
  <cp:revision>2</cp:revision>
  <cp:lastPrinted>2003-11-26T17:21:00Z</cp:lastPrinted>
  <dcterms:created xsi:type="dcterms:W3CDTF">2021-05-11T18:55:00Z</dcterms:created>
  <dcterms:modified xsi:type="dcterms:W3CDTF">2021-05-11T18:55:00Z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21.127.716</vt:lpwstr>
  </property>
</Properties>
</file>