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40189" w14:paraId="2102228B" w14:textId="77777777" w:rsidTr="00345119">
        <w:tc>
          <w:tcPr>
            <w:tcW w:w="9576" w:type="dxa"/>
            <w:noWrap/>
          </w:tcPr>
          <w:p w14:paraId="4AF480E8" w14:textId="77777777" w:rsidR="008423E4" w:rsidRPr="0022177D" w:rsidRDefault="003C5954" w:rsidP="00D367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F3F54D" w14:textId="77777777" w:rsidR="008423E4" w:rsidRPr="00D36780" w:rsidRDefault="008423E4" w:rsidP="00D36780">
      <w:pPr>
        <w:jc w:val="center"/>
        <w:rPr>
          <w:sz w:val="22"/>
        </w:rPr>
      </w:pPr>
    </w:p>
    <w:p w14:paraId="4F167DC3" w14:textId="77777777" w:rsidR="008423E4" w:rsidRPr="00D36780" w:rsidRDefault="008423E4" w:rsidP="00D36780">
      <w:pPr>
        <w:rPr>
          <w:sz w:val="22"/>
        </w:rPr>
      </w:pPr>
    </w:p>
    <w:p w14:paraId="2CE3862C" w14:textId="77777777" w:rsidR="008423E4" w:rsidRPr="00742794" w:rsidRDefault="008423E4" w:rsidP="00D3678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0189" w14:paraId="02140730" w14:textId="77777777" w:rsidTr="00345119">
        <w:tc>
          <w:tcPr>
            <w:tcW w:w="9576" w:type="dxa"/>
          </w:tcPr>
          <w:p w14:paraId="2F9F01C7" w14:textId="77777777" w:rsidR="008423E4" w:rsidRPr="00861995" w:rsidRDefault="003C5954" w:rsidP="00D36780">
            <w:pPr>
              <w:jc w:val="right"/>
            </w:pPr>
            <w:r>
              <w:t>C.S.S.B. 1856</w:t>
            </w:r>
          </w:p>
        </w:tc>
      </w:tr>
      <w:tr w:rsidR="00540189" w14:paraId="0985116B" w14:textId="77777777" w:rsidTr="00345119">
        <w:tc>
          <w:tcPr>
            <w:tcW w:w="9576" w:type="dxa"/>
          </w:tcPr>
          <w:p w14:paraId="55647263" w14:textId="77777777" w:rsidR="008423E4" w:rsidRPr="00861995" w:rsidRDefault="003C5954" w:rsidP="00D36780">
            <w:pPr>
              <w:jc w:val="right"/>
            </w:pPr>
            <w:r>
              <w:t xml:space="preserve">By: </w:t>
            </w:r>
            <w:r w:rsidR="00A03CC2">
              <w:t>Powell</w:t>
            </w:r>
          </w:p>
        </w:tc>
      </w:tr>
      <w:tr w:rsidR="00540189" w14:paraId="1EB90A29" w14:textId="77777777" w:rsidTr="00345119">
        <w:tc>
          <w:tcPr>
            <w:tcW w:w="9576" w:type="dxa"/>
          </w:tcPr>
          <w:p w14:paraId="50F9EAFF" w14:textId="77777777" w:rsidR="008423E4" w:rsidRPr="00861995" w:rsidRDefault="003C5954" w:rsidP="00D36780">
            <w:pPr>
              <w:jc w:val="right"/>
            </w:pPr>
            <w:r>
              <w:t>Public Health</w:t>
            </w:r>
          </w:p>
        </w:tc>
      </w:tr>
      <w:tr w:rsidR="00540189" w14:paraId="724636CC" w14:textId="77777777" w:rsidTr="00345119">
        <w:tc>
          <w:tcPr>
            <w:tcW w:w="9576" w:type="dxa"/>
          </w:tcPr>
          <w:p w14:paraId="3BC79259" w14:textId="77777777" w:rsidR="008423E4" w:rsidRDefault="003C5954" w:rsidP="00D36780">
            <w:pPr>
              <w:jc w:val="right"/>
            </w:pPr>
            <w:r>
              <w:t>Committee Report (Substituted)</w:t>
            </w:r>
          </w:p>
        </w:tc>
      </w:tr>
    </w:tbl>
    <w:p w14:paraId="0AB1217B" w14:textId="77777777" w:rsidR="008423E4" w:rsidRDefault="008423E4" w:rsidP="00D36780">
      <w:pPr>
        <w:tabs>
          <w:tab w:val="right" w:pos="9360"/>
        </w:tabs>
      </w:pPr>
    </w:p>
    <w:p w14:paraId="485E186A" w14:textId="77777777" w:rsidR="008423E4" w:rsidRDefault="008423E4" w:rsidP="00D36780"/>
    <w:p w14:paraId="5CDB8534" w14:textId="77777777" w:rsidR="008423E4" w:rsidRDefault="008423E4" w:rsidP="00D367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40189" w14:paraId="7C9EDE6A" w14:textId="77777777" w:rsidTr="00345119">
        <w:tc>
          <w:tcPr>
            <w:tcW w:w="9576" w:type="dxa"/>
          </w:tcPr>
          <w:p w14:paraId="6C920EE7" w14:textId="77777777" w:rsidR="008423E4" w:rsidRPr="00A8133F" w:rsidRDefault="003C5954" w:rsidP="00D367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A52AD27" w14:textId="77777777" w:rsidR="008423E4" w:rsidRDefault="008423E4" w:rsidP="00D36780"/>
          <w:p w14:paraId="20950DB6" w14:textId="12811096" w:rsidR="0000617A" w:rsidRDefault="003C5954" w:rsidP="00D36780">
            <w:pPr>
              <w:pStyle w:val="Header"/>
              <w:jc w:val="both"/>
            </w:pPr>
            <w:r>
              <w:t>During the COVID-19 pandemic, health</w:t>
            </w:r>
            <w:r w:rsidR="00B67FD2">
              <w:t>-</w:t>
            </w:r>
            <w:r>
              <w:t>care practitioners</w:t>
            </w:r>
            <w:r w:rsidR="0021749E">
              <w:t xml:space="preserve"> across the state</w:t>
            </w:r>
            <w:r>
              <w:t xml:space="preserve"> </w:t>
            </w:r>
            <w:r w:rsidR="00320339">
              <w:t>faced numerous roadblocks</w:t>
            </w:r>
            <w:r>
              <w:t xml:space="preserve">. Long-term care facilities like </w:t>
            </w:r>
            <w:r>
              <w:t>assisted</w:t>
            </w:r>
            <w:r w:rsidR="003950EF">
              <w:t xml:space="preserve"> </w:t>
            </w:r>
            <w:r>
              <w:t xml:space="preserve">living facilities and nursing homes faced outbreaks that severely strained staffing and resources. This staffing was further strained by executive orders that limited those who </w:t>
            </w:r>
            <w:r w:rsidR="00320339">
              <w:t xml:space="preserve">could </w:t>
            </w:r>
            <w:r>
              <w:t>work to</w:t>
            </w:r>
            <w:r w:rsidR="00320339">
              <w:t xml:space="preserve"> employees deemed</w:t>
            </w:r>
            <w:r>
              <w:t xml:space="preserve"> "essential." </w:t>
            </w:r>
            <w:r w:rsidR="00320339">
              <w:t>Students</w:t>
            </w:r>
            <w:r>
              <w:t xml:space="preserve"> under clinical su</w:t>
            </w:r>
            <w:r>
              <w:t xml:space="preserve">pervision for their licensure </w:t>
            </w:r>
            <w:r w:rsidR="00320339">
              <w:t xml:space="preserve">as a vocational nurse </w:t>
            </w:r>
            <w:r>
              <w:t xml:space="preserve">were not included as essential, even though </w:t>
            </w:r>
            <w:r w:rsidR="009C5A35">
              <w:t>these students</w:t>
            </w:r>
            <w:r>
              <w:t xml:space="preserve"> trained and worked alongside licensed vocational nurses. </w:t>
            </w:r>
            <w:r w:rsidR="00320339">
              <w:t>Fortunately, w</w:t>
            </w:r>
            <w:r>
              <w:t xml:space="preserve">aivers were eventually made to allow </w:t>
            </w:r>
            <w:r w:rsidR="00320339">
              <w:t xml:space="preserve">these </w:t>
            </w:r>
            <w:r>
              <w:t>students to work</w:t>
            </w:r>
            <w:r w:rsidR="009C5A35">
              <w:t xml:space="preserve">, </w:t>
            </w:r>
            <w:r w:rsidR="009C5A35" w:rsidRPr="00E31797">
              <w:t>giving rise</w:t>
            </w:r>
            <w:r w:rsidR="009C5A35">
              <w:t xml:space="preserve"> to the need</w:t>
            </w:r>
            <w:r w:rsidR="00320339">
              <w:t xml:space="preserve"> to ensure</w:t>
            </w:r>
            <w:r w:rsidR="00A30B3B">
              <w:t xml:space="preserve"> that</w:t>
            </w:r>
            <w:r w:rsidR="00320339">
              <w:t xml:space="preserve"> the supply of nurses in Texas during a disaster will not diminish in the future. C.S.</w:t>
            </w:r>
            <w:r>
              <w:t>S.B.</w:t>
            </w:r>
            <w:r w:rsidR="00DF0D81">
              <w:t> </w:t>
            </w:r>
            <w:r>
              <w:t xml:space="preserve">1856 </w:t>
            </w:r>
            <w:r w:rsidR="00320339">
              <w:t xml:space="preserve">seeks </w:t>
            </w:r>
            <w:r w:rsidR="009C5A35">
              <w:t>to address this issue by allowing certain vocational nursing students to provide services at all times in Texas, including during a declared state of disaster</w:t>
            </w:r>
            <w:r>
              <w:t>.</w:t>
            </w:r>
          </w:p>
          <w:p w14:paraId="7C2A44D0" w14:textId="77777777" w:rsidR="008423E4" w:rsidRPr="00E26B13" w:rsidRDefault="008423E4" w:rsidP="00D36780">
            <w:pPr>
              <w:rPr>
                <w:b/>
              </w:rPr>
            </w:pPr>
          </w:p>
        </w:tc>
      </w:tr>
      <w:tr w:rsidR="00540189" w14:paraId="24FFF83E" w14:textId="77777777" w:rsidTr="00345119">
        <w:tc>
          <w:tcPr>
            <w:tcW w:w="9576" w:type="dxa"/>
          </w:tcPr>
          <w:p w14:paraId="75C77646" w14:textId="77777777" w:rsidR="0017725B" w:rsidRDefault="003C5954" w:rsidP="00D367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0115FAF" w14:textId="77777777" w:rsidR="0017725B" w:rsidRDefault="0017725B" w:rsidP="00D36780">
            <w:pPr>
              <w:rPr>
                <w:b/>
                <w:u w:val="single"/>
              </w:rPr>
            </w:pPr>
          </w:p>
          <w:p w14:paraId="3590609E" w14:textId="77777777" w:rsidR="00AD693F" w:rsidRPr="00AD693F" w:rsidRDefault="003C5954" w:rsidP="00D3678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14:paraId="7ED74F09" w14:textId="77777777" w:rsidR="0017725B" w:rsidRPr="0017725B" w:rsidRDefault="0017725B" w:rsidP="00D36780">
            <w:pPr>
              <w:rPr>
                <w:b/>
                <w:u w:val="single"/>
              </w:rPr>
            </w:pPr>
          </w:p>
        </w:tc>
      </w:tr>
      <w:tr w:rsidR="00540189" w14:paraId="0594A3A9" w14:textId="77777777" w:rsidTr="00345119">
        <w:tc>
          <w:tcPr>
            <w:tcW w:w="9576" w:type="dxa"/>
          </w:tcPr>
          <w:p w14:paraId="0AE332A0" w14:textId="77777777" w:rsidR="008423E4" w:rsidRPr="00A8133F" w:rsidRDefault="003C5954" w:rsidP="00D367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19DE45" w14:textId="77777777" w:rsidR="008423E4" w:rsidRDefault="008423E4" w:rsidP="00D36780"/>
          <w:p w14:paraId="0070D51D" w14:textId="77777777" w:rsidR="00AD693F" w:rsidRDefault="003C5954" w:rsidP="00D367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</w:t>
            </w:r>
            <w:r>
              <w:t>ion.</w:t>
            </w:r>
          </w:p>
          <w:p w14:paraId="03AC5710" w14:textId="77777777" w:rsidR="008423E4" w:rsidRPr="00E21FDC" w:rsidRDefault="008423E4" w:rsidP="00D36780">
            <w:pPr>
              <w:rPr>
                <w:b/>
              </w:rPr>
            </w:pPr>
          </w:p>
        </w:tc>
      </w:tr>
      <w:tr w:rsidR="00540189" w14:paraId="4C2D8965" w14:textId="77777777" w:rsidTr="00345119">
        <w:tc>
          <w:tcPr>
            <w:tcW w:w="9576" w:type="dxa"/>
          </w:tcPr>
          <w:p w14:paraId="325734C3" w14:textId="77777777" w:rsidR="008423E4" w:rsidRPr="00A8133F" w:rsidRDefault="003C5954" w:rsidP="00D367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8FF767" w14:textId="77777777" w:rsidR="008423E4" w:rsidRDefault="008423E4" w:rsidP="00D36780"/>
          <w:p w14:paraId="6C131BA2" w14:textId="77777777" w:rsidR="009C36CD" w:rsidRDefault="003C5954" w:rsidP="00D367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1856 amends the Health and Safety Code to</w:t>
            </w:r>
            <w:r w:rsidR="009B4FD4">
              <w:t xml:space="preserve"> establish that services that are provided by a vocational nursing student in a licensed </w:t>
            </w:r>
            <w:r w:rsidR="003266A4">
              <w:t xml:space="preserve">nursing </w:t>
            </w:r>
            <w:r w:rsidR="009B4FD4">
              <w:t>facility and authorized by a contract or other arrangement with the facility are allowed at all times in Texas, including during a declared state of disaster. The bill authorizes a licensed</w:t>
            </w:r>
            <w:r w:rsidR="003266A4">
              <w:t xml:space="preserve"> nursing</w:t>
            </w:r>
            <w:r w:rsidR="009B4FD4">
              <w:t xml:space="preserve"> facility to do the following:</w:t>
            </w:r>
          </w:p>
          <w:p w14:paraId="3418014D" w14:textId="77777777" w:rsidR="009B4FD4" w:rsidRDefault="003C5954" w:rsidP="00D367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a student to comply with the facility's policies regarding health screenings or the use of personal protective </w:t>
            </w:r>
            <w:r>
              <w:t>equ</w:t>
            </w:r>
            <w:r w:rsidR="003266A4">
              <w:t>ipment; and</w:t>
            </w:r>
          </w:p>
          <w:p w14:paraId="17F6ACBC" w14:textId="77777777" w:rsidR="003266A4" w:rsidRDefault="003C5954" w:rsidP="00D367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condition </w:t>
            </w:r>
            <w:r w:rsidRPr="003266A4">
              <w:t>the student's provision of services on compliance with th</w:t>
            </w:r>
            <w:r>
              <w:t>ose</w:t>
            </w:r>
            <w:r w:rsidRPr="003266A4">
              <w:t xml:space="preserve"> policies</w:t>
            </w:r>
            <w:r>
              <w:t>.</w:t>
            </w:r>
          </w:p>
          <w:p w14:paraId="6D4D5FE4" w14:textId="37AB35DA" w:rsidR="003266A4" w:rsidRPr="009C36CD" w:rsidRDefault="003C5954" w:rsidP="00D36780">
            <w:pPr>
              <w:pStyle w:val="Header"/>
              <w:jc w:val="both"/>
            </w:pPr>
            <w:r>
              <w:t>The bill applies only to a student who is enrolled in an accredited school or program that is preparing the student for licensure as a licensed vocational nurse</w:t>
            </w:r>
            <w:r>
              <w:t xml:space="preserve"> and</w:t>
            </w:r>
            <w:r w:rsidR="0021749E">
              <w:t xml:space="preserve"> who is</w:t>
            </w:r>
            <w:r>
              <w:t xml:space="preserve"> participating in a clinical program at a licensed nursing facility.</w:t>
            </w:r>
          </w:p>
          <w:p w14:paraId="4C64A57D" w14:textId="77777777" w:rsidR="008423E4" w:rsidRPr="00835628" w:rsidRDefault="008423E4" w:rsidP="00D36780">
            <w:pPr>
              <w:rPr>
                <w:b/>
              </w:rPr>
            </w:pPr>
          </w:p>
        </w:tc>
      </w:tr>
      <w:tr w:rsidR="00540189" w14:paraId="325F3854" w14:textId="77777777" w:rsidTr="00345119">
        <w:tc>
          <w:tcPr>
            <w:tcW w:w="9576" w:type="dxa"/>
          </w:tcPr>
          <w:p w14:paraId="09FCD17E" w14:textId="77777777" w:rsidR="008423E4" w:rsidRPr="00A8133F" w:rsidRDefault="003C5954" w:rsidP="00D367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FD9488" w14:textId="77777777" w:rsidR="008423E4" w:rsidRDefault="008423E4" w:rsidP="00D36780"/>
          <w:p w14:paraId="1538035F" w14:textId="77777777" w:rsidR="008423E4" w:rsidRPr="003624F2" w:rsidRDefault="003C5954" w:rsidP="00D367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0E5FE73" w14:textId="77777777" w:rsidR="008423E4" w:rsidRPr="00233FDB" w:rsidRDefault="008423E4" w:rsidP="00D36780">
            <w:pPr>
              <w:rPr>
                <w:b/>
              </w:rPr>
            </w:pPr>
          </w:p>
        </w:tc>
      </w:tr>
      <w:tr w:rsidR="00540189" w14:paraId="6C342C74" w14:textId="77777777" w:rsidTr="00345119">
        <w:tc>
          <w:tcPr>
            <w:tcW w:w="9576" w:type="dxa"/>
          </w:tcPr>
          <w:p w14:paraId="0A00AAFD" w14:textId="77777777" w:rsidR="00A03CC2" w:rsidRDefault="003C5954" w:rsidP="00D3678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56AC4F6D" w14:textId="77777777" w:rsidR="00AD693F" w:rsidRDefault="00AD693F" w:rsidP="00D36780">
            <w:pPr>
              <w:jc w:val="both"/>
            </w:pPr>
          </w:p>
          <w:p w14:paraId="2B6FE62F" w14:textId="77777777" w:rsidR="00AD693F" w:rsidRDefault="003C5954" w:rsidP="00D36780">
            <w:pPr>
              <w:jc w:val="both"/>
            </w:pPr>
            <w:r>
              <w:t xml:space="preserve">While C.S.S.B. 1856 may differ from the engrossed in minor or nonsubstantive ways, the </w:t>
            </w:r>
            <w:r>
              <w:t>following summarizes the substantial differences between the engrossed and committee substitute versions of the bill.</w:t>
            </w:r>
          </w:p>
          <w:p w14:paraId="7EDE6DE4" w14:textId="77777777" w:rsidR="00AD693F" w:rsidRDefault="00AD693F" w:rsidP="00D36780">
            <w:pPr>
              <w:jc w:val="both"/>
            </w:pPr>
          </w:p>
          <w:p w14:paraId="362AB558" w14:textId="70DD7E51" w:rsidR="00AD693F" w:rsidRDefault="003C5954" w:rsidP="00D36780">
            <w:pPr>
              <w:jc w:val="both"/>
            </w:pPr>
            <w:r>
              <w:t>Whereas the engrossed established that services provided by a</w:t>
            </w:r>
            <w:r w:rsidR="00AE0B95">
              <w:t>n applicable</w:t>
            </w:r>
            <w:r>
              <w:t xml:space="preserve"> vocational nursing student in </w:t>
            </w:r>
            <w:r w:rsidR="002524C7">
              <w:t xml:space="preserve">a </w:t>
            </w:r>
            <w:r w:rsidR="00416FF5">
              <w:t>licensed nursing</w:t>
            </w:r>
            <w:r>
              <w:t xml:space="preserve"> facility are e</w:t>
            </w:r>
            <w:r>
              <w:t>ssential services at all times</w:t>
            </w:r>
            <w:r w:rsidR="00AE0B95">
              <w:t xml:space="preserve"> and prohibited a governmental entity from prohibiting at any time, including during a declared state of disaster, such a student from providing essential services</w:t>
            </w:r>
            <w:r>
              <w:t xml:space="preserve">, the </w:t>
            </w:r>
            <w:r w:rsidR="009C5A35">
              <w:t xml:space="preserve">substitute </w:t>
            </w:r>
            <w:r>
              <w:t xml:space="preserve">establishes </w:t>
            </w:r>
            <w:r w:rsidR="009C5A35">
              <w:t>that services</w:t>
            </w:r>
            <w:r w:rsidR="00416FF5">
              <w:t xml:space="preserve"> provided by such a student</w:t>
            </w:r>
            <w:r w:rsidR="00AE0B95">
              <w:t xml:space="preserve"> instead</w:t>
            </w:r>
            <w:r w:rsidR="009C5A35">
              <w:t xml:space="preserve"> are allowed at all times</w:t>
            </w:r>
            <w:r w:rsidR="00416FF5">
              <w:t>, including during a declared state of disaster</w:t>
            </w:r>
            <w:r w:rsidR="00AE0B95">
              <w:t>. The substitute includes a specification not in the engrossed</w:t>
            </w:r>
            <w:r>
              <w:t xml:space="preserve"> that the services are</w:t>
            </w:r>
            <w:r w:rsidR="009C5A35">
              <w:t xml:space="preserve"> authorized by a contract or other arrangement with the applicable facility.</w:t>
            </w:r>
            <w:r w:rsidR="00416FF5">
              <w:t xml:space="preserve"> The substitute does not include a definition for "governmental entity," which was included in the engrossed.</w:t>
            </w:r>
          </w:p>
          <w:p w14:paraId="442D6623" w14:textId="3A1FD2EF" w:rsidR="005641FF" w:rsidRDefault="005641FF" w:rsidP="00D36780">
            <w:pPr>
              <w:jc w:val="both"/>
            </w:pPr>
          </w:p>
          <w:p w14:paraId="684CDC18" w14:textId="0FECDC5D" w:rsidR="005641FF" w:rsidRDefault="003C5954" w:rsidP="00D36780">
            <w:pPr>
              <w:jc w:val="both"/>
            </w:pPr>
            <w:r>
              <w:t xml:space="preserve">The substitute includes an authorization absent from the engrossed for a licensed </w:t>
            </w:r>
            <w:r w:rsidR="00416FF5">
              <w:t xml:space="preserve">nursing </w:t>
            </w:r>
            <w:r>
              <w:t>facility to condition the student's provision of services on comp</w:t>
            </w:r>
            <w:r>
              <w:t>liance with the facility's policies regarding health screenings or the use of personal protective equipment</w:t>
            </w:r>
            <w:r w:rsidR="00A30B3B">
              <w:t>.</w:t>
            </w:r>
          </w:p>
          <w:p w14:paraId="1F7BD201" w14:textId="77777777" w:rsidR="00AD693F" w:rsidRPr="00AD693F" w:rsidRDefault="00AD693F" w:rsidP="00D36780">
            <w:pPr>
              <w:jc w:val="both"/>
            </w:pPr>
          </w:p>
        </w:tc>
      </w:tr>
      <w:tr w:rsidR="00540189" w14:paraId="4344FD2F" w14:textId="77777777" w:rsidTr="00345119">
        <w:tc>
          <w:tcPr>
            <w:tcW w:w="9576" w:type="dxa"/>
          </w:tcPr>
          <w:p w14:paraId="289A51E8" w14:textId="77777777" w:rsidR="00A03CC2" w:rsidRPr="009C1E9A" w:rsidRDefault="00A03CC2" w:rsidP="00D36780">
            <w:pPr>
              <w:rPr>
                <w:b/>
                <w:u w:val="single"/>
              </w:rPr>
            </w:pPr>
          </w:p>
        </w:tc>
      </w:tr>
      <w:tr w:rsidR="00540189" w14:paraId="68383B8C" w14:textId="77777777" w:rsidTr="00345119">
        <w:tc>
          <w:tcPr>
            <w:tcW w:w="9576" w:type="dxa"/>
          </w:tcPr>
          <w:p w14:paraId="48B1CDFD" w14:textId="77777777" w:rsidR="00A03CC2" w:rsidRPr="00A03CC2" w:rsidRDefault="00A03CC2" w:rsidP="00D36780">
            <w:pPr>
              <w:jc w:val="both"/>
            </w:pPr>
          </w:p>
        </w:tc>
      </w:tr>
    </w:tbl>
    <w:p w14:paraId="5051657E" w14:textId="77777777" w:rsidR="008423E4" w:rsidRPr="00BE0E75" w:rsidRDefault="008423E4" w:rsidP="00D36780">
      <w:pPr>
        <w:jc w:val="both"/>
        <w:rPr>
          <w:rFonts w:ascii="Arial" w:hAnsi="Arial"/>
          <w:sz w:val="16"/>
          <w:szCs w:val="16"/>
        </w:rPr>
      </w:pPr>
    </w:p>
    <w:p w14:paraId="5DAF615F" w14:textId="77777777" w:rsidR="004108C3" w:rsidRPr="008423E4" w:rsidRDefault="004108C3" w:rsidP="00D3678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C6257" w14:textId="77777777" w:rsidR="00000000" w:rsidRDefault="003C5954">
      <w:r>
        <w:separator/>
      </w:r>
    </w:p>
  </w:endnote>
  <w:endnote w:type="continuationSeparator" w:id="0">
    <w:p w14:paraId="1576BD3F" w14:textId="77777777" w:rsidR="00000000" w:rsidRDefault="003C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623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0189" w14:paraId="37AD7250" w14:textId="77777777" w:rsidTr="009C1E9A">
      <w:trPr>
        <w:cantSplit/>
      </w:trPr>
      <w:tc>
        <w:tcPr>
          <w:tcW w:w="0" w:type="pct"/>
        </w:tcPr>
        <w:p w14:paraId="3C5F68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42CA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59731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A089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C124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0189" w14:paraId="6CFB6C13" w14:textId="77777777" w:rsidTr="009C1E9A">
      <w:trPr>
        <w:cantSplit/>
      </w:trPr>
      <w:tc>
        <w:tcPr>
          <w:tcW w:w="0" w:type="pct"/>
        </w:tcPr>
        <w:p w14:paraId="140736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C22190" w14:textId="77777777" w:rsidR="00EC379B" w:rsidRPr="009C1E9A" w:rsidRDefault="003C59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27121</w:t>
          </w:r>
        </w:p>
      </w:tc>
      <w:tc>
        <w:tcPr>
          <w:tcW w:w="2453" w:type="pct"/>
        </w:tcPr>
        <w:p w14:paraId="798E8E71" w14:textId="4C102B49" w:rsidR="00EC379B" w:rsidRDefault="003C59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A77C9">
            <w:t>21.135.12</w:t>
          </w:r>
          <w:r>
            <w:fldChar w:fldCharType="end"/>
          </w:r>
        </w:p>
      </w:tc>
    </w:tr>
    <w:tr w:rsidR="00540189" w14:paraId="0EF56544" w14:textId="77777777" w:rsidTr="009C1E9A">
      <w:trPr>
        <w:cantSplit/>
      </w:trPr>
      <w:tc>
        <w:tcPr>
          <w:tcW w:w="0" w:type="pct"/>
        </w:tcPr>
        <w:p w14:paraId="046E0BD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C80E98" w14:textId="77777777" w:rsidR="00EC379B" w:rsidRPr="009C1E9A" w:rsidRDefault="003C59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26254</w:t>
          </w:r>
        </w:p>
      </w:tc>
      <w:tc>
        <w:tcPr>
          <w:tcW w:w="2453" w:type="pct"/>
        </w:tcPr>
        <w:p w14:paraId="71E4A38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614DD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0189" w14:paraId="210AF5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3AA1EA" w14:textId="79A8CF4C" w:rsidR="00EC379B" w:rsidRDefault="003C59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3678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F6281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7557F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713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8CC60" w14:textId="77777777" w:rsidR="00000000" w:rsidRDefault="003C5954">
      <w:r>
        <w:separator/>
      </w:r>
    </w:p>
  </w:footnote>
  <w:footnote w:type="continuationSeparator" w:id="0">
    <w:p w14:paraId="1A685204" w14:textId="77777777" w:rsidR="00000000" w:rsidRDefault="003C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28A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3B6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46A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475"/>
    <w:multiLevelType w:val="hybridMultilevel"/>
    <w:tmpl w:val="5A90AA68"/>
    <w:lvl w:ilvl="0" w:tplc="CB10E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0F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23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81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02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CF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84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4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63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DB6"/>
    <w:multiLevelType w:val="hybridMultilevel"/>
    <w:tmpl w:val="42480E38"/>
    <w:lvl w:ilvl="0" w:tplc="80DCD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A7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40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24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20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41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AC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A6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AA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C2"/>
    <w:rsid w:val="00000A70"/>
    <w:rsid w:val="000032B8"/>
    <w:rsid w:val="00003B06"/>
    <w:rsid w:val="000054B9"/>
    <w:rsid w:val="0000617A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36F"/>
    <w:rsid w:val="0020775D"/>
    <w:rsid w:val="002116DD"/>
    <w:rsid w:val="0021383D"/>
    <w:rsid w:val="00216BBA"/>
    <w:rsid w:val="00216E12"/>
    <w:rsid w:val="00217466"/>
    <w:rsid w:val="0021749E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4C7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339"/>
    <w:rsid w:val="00321337"/>
    <w:rsid w:val="00321F2F"/>
    <w:rsid w:val="003237F6"/>
    <w:rsid w:val="00324077"/>
    <w:rsid w:val="0032453B"/>
    <w:rsid w:val="00324868"/>
    <w:rsid w:val="003266A4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0EF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954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FF5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189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1FF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70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B36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FD4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5A35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73B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CC2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B3B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59E"/>
    <w:rsid w:val="00AD693F"/>
    <w:rsid w:val="00AD7780"/>
    <w:rsid w:val="00AE0B95"/>
    <w:rsid w:val="00AE2263"/>
    <w:rsid w:val="00AE248E"/>
    <w:rsid w:val="00AE2D12"/>
    <w:rsid w:val="00AE2F06"/>
    <w:rsid w:val="00AE4F1C"/>
    <w:rsid w:val="00AF107D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FD2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37B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E85"/>
    <w:rsid w:val="00D30534"/>
    <w:rsid w:val="00D35728"/>
    <w:rsid w:val="00D36780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D81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97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7C9"/>
    <w:rsid w:val="00FB16CD"/>
    <w:rsid w:val="00FB73AE"/>
    <w:rsid w:val="00FC5388"/>
    <w:rsid w:val="00FC726C"/>
    <w:rsid w:val="00FD1B4B"/>
    <w:rsid w:val="00FD1B94"/>
    <w:rsid w:val="00FD5023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7C71AF-190E-4674-9D33-98E63D92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6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6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6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66A4"/>
    <w:rPr>
      <w:b/>
      <w:bCs/>
    </w:rPr>
  </w:style>
  <w:style w:type="paragraph" w:styleId="ListParagraph">
    <w:name w:val="List Paragraph"/>
    <w:basedOn w:val="Normal"/>
    <w:uiPriority w:val="34"/>
    <w:qFormat/>
    <w:rsid w:val="009C5A35"/>
    <w:pPr>
      <w:ind w:left="720"/>
      <w:contextualSpacing/>
    </w:pPr>
  </w:style>
  <w:style w:type="paragraph" w:styleId="Revision">
    <w:name w:val="Revision"/>
    <w:hidden/>
    <w:uiPriority w:val="99"/>
    <w:semiHidden/>
    <w:rsid w:val="00A30B3B"/>
    <w:rPr>
      <w:sz w:val="24"/>
      <w:szCs w:val="24"/>
    </w:rPr>
  </w:style>
  <w:style w:type="character" w:styleId="Hyperlink">
    <w:name w:val="Hyperlink"/>
    <w:basedOn w:val="DefaultParagraphFont"/>
    <w:unhideWhenUsed/>
    <w:rsid w:val="00B6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3112</Characters>
  <Application>Microsoft Office Word</Application>
  <DocSecurity>4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SB01856 (Committee Report (Substituted))</vt:lpstr>
    </vt:vector>
  </TitlesOfParts>
  <Company>State of Texas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27121</dc:subject>
  <dc:creator>State of Texas</dc:creator>
  <dc:description>SB 1856 by Powell-(H)Public Health (Substitute Document Number: 87R 26254)</dc:description>
  <cp:lastModifiedBy>Damian Duarte</cp:lastModifiedBy>
  <cp:revision>2</cp:revision>
  <cp:lastPrinted>2003-11-26T17:21:00Z</cp:lastPrinted>
  <dcterms:created xsi:type="dcterms:W3CDTF">2021-05-17T17:07:00Z</dcterms:created>
  <dcterms:modified xsi:type="dcterms:W3CDTF">2021-05-17T17:07:00Z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21.135.12</vt:lpwstr>
  </property>
</Properties>
</file>