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8A6" w:rsidRDefault="00EC28A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D7D2612FD0F4C52B72CA2580AA9F0F8"/>
          </w:placeholder>
        </w:sdtPr>
        <w:sdtContent>
          <w:r w:rsidRPr="005C2A78">
            <w:rPr>
              <w:rFonts w:cs="Times New Roman"/>
              <w:b/>
              <w:szCs w:val="24"/>
              <w:u w:val="single"/>
            </w:rPr>
            <w:t>BILL ANALYSIS</w:t>
          </w:r>
        </w:sdtContent>
      </w:sdt>
    </w:p>
    <w:p w:rsidR="00EC28A6" w:rsidRPr="00585C31" w:rsidRDefault="00EC28A6" w:rsidP="000F1DF9">
      <w:pPr>
        <w:spacing w:after="0" w:line="240" w:lineRule="auto"/>
        <w:rPr>
          <w:rFonts w:cs="Times New Roman"/>
          <w:szCs w:val="24"/>
        </w:rPr>
      </w:pPr>
    </w:p>
    <w:p w:rsidR="00EC28A6" w:rsidRPr="00585C31" w:rsidRDefault="00EC28A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C28A6" w:rsidTr="000F1DF9">
        <w:tc>
          <w:tcPr>
            <w:tcW w:w="2718" w:type="dxa"/>
          </w:tcPr>
          <w:p w:rsidR="00EC28A6" w:rsidRPr="005C2A78" w:rsidRDefault="00EC28A6" w:rsidP="006D756B">
            <w:pPr>
              <w:rPr>
                <w:rFonts w:cs="Times New Roman"/>
                <w:szCs w:val="24"/>
              </w:rPr>
            </w:pPr>
            <w:sdt>
              <w:sdtPr>
                <w:rPr>
                  <w:rFonts w:cs="Times New Roman"/>
                  <w:szCs w:val="24"/>
                </w:rPr>
                <w:alias w:val="Agency Title"/>
                <w:tag w:val="AgencyTitleContentControl"/>
                <w:id w:val="1920747753"/>
                <w:lock w:val="sdtContentLocked"/>
                <w:placeholder>
                  <w:docPart w:val="14236BD11AD14CAA8A25006B4973D5C5"/>
                </w:placeholder>
              </w:sdtPr>
              <w:sdtEndPr>
                <w:rPr>
                  <w:rFonts w:cstheme="minorBidi"/>
                  <w:szCs w:val="22"/>
                </w:rPr>
              </w:sdtEndPr>
              <w:sdtContent>
                <w:r>
                  <w:rPr>
                    <w:rFonts w:cs="Times New Roman"/>
                    <w:szCs w:val="24"/>
                  </w:rPr>
                  <w:t>Senate Research Center</w:t>
                </w:r>
              </w:sdtContent>
            </w:sdt>
          </w:p>
        </w:tc>
        <w:tc>
          <w:tcPr>
            <w:tcW w:w="6858" w:type="dxa"/>
          </w:tcPr>
          <w:p w:rsidR="00EC28A6" w:rsidRPr="00FF6471" w:rsidRDefault="00EC28A6" w:rsidP="000F1DF9">
            <w:pPr>
              <w:jc w:val="right"/>
              <w:rPr>
                <w:rFonts w:cs="Times New Roman"/>
                <w:szCs w:val="24"/>
              </w:rPr>
            </w:pPr>
            <w:sdt>
              <w:sdtPr>
                <w:rPr>
                  <w:rFonts w:cs="Times New Roman"/>
                  <w:szCs w:val="24"/>
                </w:rPr>
                <w:alias w:val="Bill Number"/>
                <w:tag w:val="BillNumberOne"/>
                <w:id w:val="-410784069"/>
                <w:lock w:val="sdtContentLocked"/>
                <w:placeholder>
                  <w:docPart w:val="7A843A464AC44EDB91064C74401520CC"/>
                </w:placeholder>
              </w:sdtPr>
              <w:sdtContent>
                <w:r>
                  <w:rPr>
                    <w:rFonts w:cs="Times New Roman"/>
                    <w:szCs w:val="24"/>
                  </w:rPr>
                  <w:t>C.S.S.B. 1876</w:t>
                </w:r>
              </w:sdtContent>
            </w:sdt>
          </w:p>
        </w:tc>
      </w:tr>
      <w:tr w:rsidR="00EC28A6" w:rsidTr="000F1DF9">
        <w:sdt>
          <w:sdtPr>
            <w:rPr>
              <w:rFonts w:cs="Times New Roman"/>
              <w:szCs w:val="24"/>
            </w:rPr>
            <w:alias w:val="TLCNumber"/>
            <w:tag w:val="TLCNumber"/>
            <w:id w:val="-542600604"/>
            <w:lock w:val="sdtLocked"/>
            <w:placeholder>
              <w:docPart w:val="E98B706CFD504F0D8AAEC8FB7D32BDC0"/>
            </w:placeholder>
          </w:sdtPr>
          <w:sdtContent>
            <w:tc>
              <w:tcPr>
                <w:tcW w:w="2718" w:type="dxa"/>
              </w:tcPr>
              <w:p w:rsidR="00EC28A6" w:rsidRPr="000F1DF9" w:rsidRDefault="00EC28A6" w:rsidP="00C65088">
                <w:pPr>
                  <w:rPr>
                    <w:rFonts w:cs="Times New Roman"/>
                    <w:szCs w:val="24"/>
                  </w:rPr>
                </w:pPr>
                <w:r>
                  <w:rPr>
                    <w:rFonts w:cs="Times New Roman"/>
                    <w:szCs w:val="24"/>
                  </w:rPr>
                  <w:t>87R21750 EAS-F</w:t>
                </w:r>
              </w:p>
            </w:tc>
          </w:sdtContent>
        </w:sdt>
        <w:tc>
          <w:tcPr>
            <w:tcW w:w="6858" w:type="dxa"/>
          </w:tcPr>
          <w:p w:rsidR="00EC28A6" w:rsidRPr="005C2A78" w:rsidRDefault="00EC28A6" w:rsidP="00073EDD">
            <w:pPr>
              <w:jc w:val="right"/>
              <w:rPr>
                <w:rFonts w:cs="Times New Roman"/>
                <w:szCs w:val="24"/>
              </w:rPr>
            </w:pPr>
            <w:sdt>
              <w:sdtPr>
                <w:rPr>
                  <w:rFonts w:cs="Times New Roman"/>
                  <w:szCs w:val="24"/>
                </w:rPr>
                <w:alias w:val="Author Label"/>
                <w:tag w:val="By"/>
                <w:id w:val="72399597"/>
                <w:lock w:val="sdtLocked"/>
                <w:placeholder>
                  <w:docPart w:val="4002C65C74F94B7FB47A0236BF7D9BA5"/>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13AAD3463A54A2196D4F25A3C4E32D7"/>
                </w:placeholder>
              </w:sdtPr>
              <w:sdtContent>
                <w:r>
                  <w:rPr>
                    <w:rFonts w:cs="Times New Roman"/>
                    <w:szCs w:val="24"/>
                  </w:rPr>
                  <w:t>Miles; Huffman</w:t>
                </w:r>
              </w:sdtContent>
            </w:sdt>
            <w:sdt>
              <w:sdtPr>
                <w:rPr>
                  <w:rFonts w:cs="Times New Roman"/>
                  <w:szCs w:val="24"/>
                </w:rPr>
                <w:alias w:val="Sponsor"/>
                <w:tag w:val="Sponsor"/>
                <w:id w:val="-2039656131"/>
                <w:lock w:val="sdtContentLocked"/>
                <w:placeholder>
                  <w:docPart w:val="B3128AC1021E4F49A0A2CA35F18773FB"/>
                </w:placeholder>
                <w:showingPlcHdr/>
              </w:sdtPr>
              <w:sdtContent/>
            </w:sdt>
            <w:sdt>
              <w:sdtPr>
                <w:rPr>
                  <w:rFonts w:cs="Times New Roman"/>
                  <w:szCs w:val="24"/>
                </w:rPr>
                <w:alias w:val="DualSponsor"/>
                <w:tag w:val="DualSponsor"/>
                <w:id w:val="1029379812"/>
                <w:lock w:val="sdtContentLocked"/>
                <w:placeholder>
                  <w:docPart w:val="783C933432684C12901881549FA0BD28"/>
                </w:placeholder>
                <w:showingPlcHdr/>
              </w:sdtPr>
              <w:sdtContent/>
            </w:sdt>
          </w:p>
        </w:tc>
      </w:tr>
      <w:tr w:rsidR="00EC28A6" w:rsidTr="000F1DF9">
        <w:tc>
          <w:tcPr>
            <w:tcW w:w="2718" w:type="dxa"/>
          </w:tcPr>
          <w:p w:rsidR="00EC28A6" w:rsidRPr="00BC7495" w:rsidRDefault="00EC28A6" w:rsidP="000F1DF9">
            <w:pPr>
              <w:rPr>
                <w:rFonts w:cs="Times New Roman"/>
                <w:szCs w:val="24"/>
              </w:rPr>
            </w:pPr>
          </w:p>
        </w:tc>
        <w:sdt>
          <w:sdtPr>
            <w:rPr>
              <w:rFonts w:cs="Times New Roman"/>
              <w:szCs w:val="24"/>
            </w:rPr>
            <w:alias w:val="Committee"/>
            <w:tag w:val="Committee"/>
            <w:id w:val="1914272295"/>
            <w:lock w:val="sdtContentLocked"/>
            <w:placeholder>
              <w:docPart w:val="B44EE1FD5FD347B1AEFA4C9A316D1832"/>
            </w:placeholder>
          </w:sdtPr>
          <w:sdtContent>
            <w:tc>
              <w:tcPr>
                <w:tcW w:w="6858" w:type="dxa"/>
              </w:tcPr>
              <w:p w:rsidR="00EC28A6" w:rsidRPr="00FF6471" w:rsidRDefault="00EC28A6" w:rsidP="000F1DF9">
                <w:pPr>
                  <w:jc w:val="right"/>
                  <w:rPr>
                    <w:rFonts w:cs="Times New Roman"/>
                    <w:szCs w:val="24"/>
                  </w:rPr>
                </w:pPr>
                <w:r>
                  <w:rPr>
                    <w:rFonts w:cs="Times New Roman"/>
                    <w:szCs w:val="24"/>
                  </w:rPr>
                  <w:t>Health &amp; Human Services</w:t>
                </w:r>
              </w:p>
            </w:tc>
          </w:sdtContent>
        </w:sdt>
      </w:tr>
      <w:tr w:rsidR="00EC28A6" w:rsidTr="000F1DF9">
        <w:tc>
          <w:tcPr>
            <w:tcW w:w="2718" w:type="dxa"/>
          </w:tcPr>
          <w:p w:rsidR="00EC28A6" w:rsidRPr="00BC7495" w:rsidRDefault="00EC28A6" w:rsidP="000F1DF9">
            <w:pPr>
              <w:rPr>
                <w:rFonts w:cs="Times New Roman"/>
                <w:szCs w:val="24"/>
              </w:rPr>
            </w:pPr>
          </w:p>
        </w:tc>
        <w:sdt>
          <w:sdtPr>
            <w:rPr>
              <w:rFonts w:cs="Times New Roman"/>
              <w:szCs w:val="24"/>
            </w:rPr>
            <w:alias w:val="Date"/>
            <w:tag w:val="DateContentControl"/>
            <w:id w:val="1178081906"/>
            <w:lock w:val="sdtLocked"/>
            <w:placeholder>
              <w:docPart w:val="D2C086F653074929B16410E7DD73E7E8"/>
            </w:placeholder>
            <w:date w:fullDate="2021-04-28T00:00:00Z">
              <w:dateFormat w:val="M/d/yyyy"/>
              <w:lid w:val="en-US"/>
              <w:storeMappedDataAs w:val="dateTime"/>
              <w:calendar w:val="gregorian"/>
            </w:date>
          </w:sdtPr>
          <w:sdtContent>
            <w:tc>
              <w:tcPr>
                <w:tcW w:w="6858" w:type="dxa"/>
              </w:tcPr>
              <w:p w:rsidR="00EC28A6" w:rsidRPr="00FF6471" w:rsidRDefault="00EC28A6" w:rsidP="000F1DF9">
                <w:pPr>
                  <w:jc w:val="right"/>
                  <w:rPr>
                    <w:rFonts w:cs="Times New Roman"/>
                    <w:szCs w:val="24"/>
                  </w:rPr>
                </w:pPr>
                <w:r>
                  <w:rPr>
                    <w:rFonts w:cs="Times New Roman"/>
                    <w:szCs w:val="24"/>
                  </w:rPr>
                  <w:t>4/28/2021</w:t>
                </w:r>
              </w:p>
            </w:tc>
          </w:sdtContent>
        </w:sdt>
      </w:tr>
      <w:tr w:rsidR="00EC28A6" w:rsidTr="000F1DF9">
        <w:tc>
          <w:tcPr>
            <w:tcW w:w="2718" w:type="dxa"/>
          </w:tcPr>
          <w:p w:rsidR="00EC28A6" w:rsidRPr="00BC7495" w:rsidRDefault="00EC28A6" w:rsidP="000F1DF9">
            <w:pPr>
              <w:rPr>
                <w:rFonts w:cs="Times New Roman"/>
                <w:szCs w:val="24"/>
              </w:rPr>
            </w:pPr>
          </w:p>
        </w:tc>
        <w:sdt>
          <w:sdtPr>
            <w:rPr>
              <w:rFonts w:cs="Times New Roman"/>
              <w:szCs w:val="24"/>
            </w:rPr>
            <w:alias w:val="BA Version"/>
            <w:tag w:val="BAVersion"/>
            <w:id w:val="-1685590809"/>
            <w:lock w:val="sdtContentLocked"/>
            <w:placeholder>
              <w:docPart w:val="85FC6F5D190C46B0A0B7526424773846"/>
            </w:placeholder>
          </w:sdtPr>
          <w:sdtContent>
            <w:tc>
              <w:tcPr>
                <w:tcW w:w="6858" w:type="dxa"/>
              </w:tcPr>
              <w:p w:rsidR="00EC28A6" w:rsidRPr="00FF6471" w:rsidRDefault="00EC28A6" w:rsidP="000F1DF9">
                <w:pPr>
                  <w:jc w:val="right"/>
                  <w:rPr>
                    <w:rFonts w:cs="Times New Roman"/>
                    <w:szCs w:val="24"/>
                  </w:rPr>
                </w:pPr>
                <w:r>
                  <w:rPr>
                    <w:rFonts w:cs="Times New Roman"/>
                    <w:szCs w:val="24"/>
                  </w:rPr>
                  <w:t>Committee Report (Substituted)</w:t>
                </w:r>
              </w:p>
            </w:tc>
          </w:sdtContent>
        </w:sdt>
      </w:tr>
    </w:tbl>
    <w:p w:rsidR="00EC28A6" w:rsidRPr="00FF6471" w:rsidRDefault="00EC28A6" w:rsidP="000F1DF9">
      <w:pPr>
        <w:spacing w:after="0" w:line="240" w:lineRule="auto"/>
        <w:rPr>
          <w:rFonts w:cs="Times New Roman"/>
          <w:szCs w:val="24"/>
        </w:rPr>
      </w:pPr>
    </w:p>
    <w:p w:rsidR="00EC28A6" w:rsidRPr="00FF6471" w:rsidRDefault="00EC28A6" w:rsidP="000F1DF9">
      <w:pPr>
        <w:spacing w:after="0" w:line="240" w:lineRule="auto"/>
        <w:rPr>
          <w:rFonts w:cs="Times New Roman"/>
          <w:szCs w:val="24"/>
        </w:rPr>
      </w:pPr>
    </w:p>
    <w:p w:rsidR="00EC28A6" w:rsidRPr="00FF6471" w:rsidRDefault="00EC28A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B5B54219924F42A4BB4BB3494724CEF8"/>
        </w:placeholder>
      </w:sdtPr>
      <w:sdtContent>
        <w:p w:rsidR="00EC28A6" w:rsidRDefault="00EC28A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1A28AE7F91148BC8F08010E0E9A183A"/>
        </w:placeholder>
      </w:sdtPr>
      <w:sdtContent>
        <w:p w:rsidR="00EC28A6" w:rsidRDefault="00EC28A6" w:rsidP="00C67F0B">
          <w:pPr>
            <w:pStyle w:val="NormalWeb"/>
            <w:spacing w:before="0" w:beforeAutospacing="0" w:after="0" w:afterAutospacing="0"/>
            <w:jc w:val="both"/>
            <w:divId w:val="1748503018"/>
            <w:rPr>
              <w:rFonts w:eastAsia="Times New Roman"/>
              <w:bCs/>
            </w:rPr>
          </w:pPr>
        </w:p>
        <w:p w:rsidR="00EC28A6" w:rsidRPr="00C67F0B" w:rsidRDefault="00EC28A6" w:rsidP="00C67F0B">
          <w:pPr>
            <w:pStyle w:val="NormalWeb"/>
            <w:spacing w:before="0" w:beforeAutospacing="0" w:after="0" w:afterAutospacing="0"/>
            <w:jc w:val="both"/>
            <w:divId w:val="1748503018"/>
          </w:pPr>
          <w:r w:rsidRPr="00C67F0B">
            <w:t>During emergencies, many end stage renal disease facilities (ESRD), commonly known as dialysis centers, close their doors, leaving their patients with missed appointments and lack of access to needed dialysis care. While this is usually an issue caused by hurricanes and tropical storms, most recently this occurred during the unprecedented winter storm that struck Texas. When patients are unable to access their routine dialysis treatment, their conditions worsen, and they are generally forced to seek hospital care.</w:t>
          </w:r>
        </w:p>
        <w:p w:rsidR="00EC28A6" w:rsidRPr="00C67F0B" w:rsidRDefault="00EC28A6" w:rsidP="00C67F0B">
          <w:pPr>
            <w:pStyle w:val="NormalWeb"/>
            <w:spacing w:before="0" w:beforeAutospacing="0" w:after="0" w:afterAutospacing="0"/>
            <w:jc w:val="both"/>
            <w:divId w:val="1748503018"/>
          </w:pPr>
          <w:r w:rsidRPr="00C67F0B">
            <w:t> </w:t>
          </w:r>
        </w:p>
        <w:p w:rsidR="00EC28A6" w:rsidRPr="00C67F0B" w:rsidRDefault="00EC28A6" w:rsidP="00C67F0B">
          <w:pPr>
            <w:pStyle w:val="NormalWeb"/>
            <w:spacing w:before="0" w:beforeAutospacing="0" w:after="0" w:afterAutospacing="0"/>
            <w:jc w:val="both"/>
            <w:divId w:val="1748503018"/>
          </w:pPr>
          <w:r w:rsidRPr="00C67F0B">
            <w:t>S.B. 1876 would require end stage renal disease facilities to adopt a written emergency preparedness and contingency operations plan. It would also amend the Utilities Code to prioritize power to ESRD facilities so that they are on par with hospitals, nursing homes, assisted living facilities, and hospices.</w:t>
          </w:r>
        </w:p>
        <w:p w:rsidR="00EC28A6" w:rsidRPr="00D70925" w:rsidRDefault="00EC28A6" w:rsidP="00C67F0B">
          <w:pPr>
            <w:spacing w:after="0" w:line="240" w:lineRule="auto"/>
            <w:jc w:val="both"/>
            <w:rPr>
              <w:rFonts w:eastAsia="Times New Roman" w:cs="Times New Roman"/>
              <w:bCs/>
              <w:szCs w:val="24"/>
            </w:rPr>
          </w:pPr>
        </w:p>
      </w:sdtContent>
    </w:sdt>
    <w:p w:rsidR="00EC28A6" w:rsidRDefault="00EC28A6" w:rsidP="00A34F5F">
      <w:pPr>
        <w:spacing w:after="0" w:line="240" w:lineRule="auto"/>
        <w:jc w:val="both"/>
        <w:rPr>
          <w:rFonts w:cs="Times New Roman"/>
          <w:szCs w:val="24"/>
        </w:rPr>
      </w:pPr>
      <w:bookmarkStart w:id="0" w:name="EnrolledProposed"/>
      <w:bookmarkEnd w:id="0"/>
      <w:r>
        <w:rPr>
          <w:rFonts w:cs="Times New Roman"/>
          <w:szCs w:val="24"/>
        </w:rPr>
        <w:t>(Original Author's / Sponsor's Statement of Intent)</w:t>
      </w:r>
    </w:p>
    <w:p w:rsidR="00EC28A6" w:rsidRDefault="00EC28A6" w:rsidP="00A34F5F">
      <w:pPr>
        <w:spacing w:after="0" w:line="240" w:lineRule="auto"/>
        <w:jc w:val="both"/>
        <w:rPr>
          <w:rFonts w:cs="Times New Roman"/>
          <w:szCs w:val="24"/>
        </w:rPr>
      </w:pPr>
    </w:p>
    <w:p w:rsidR="00EC28A6" w:rsidRDefault="00EC28A6" w:rsidP="00A34F5F">
      <w:pPr>
        <w:spacing w:after="0" w:line="240" w:lineRule="auto"/>
        <w:jc w:val="both"/>
        <w:rPr>
          <w:rFonts w:eastAsia="Times New Roman" w:cs="Times New Roman"/>
          <w:b/>
          <w:szCs w:val="24"/>
          <w:u w:val="single"/>
        </w:rPr>
      </w:pPr>
      <w:r>
        <w:rPr>
          <w:rFonts w:cs="Times New Roman"/>
          <w:szCs w:val="24"/>
        </w:rPr>
        <w:t xml:space="preserve">C.S.S.B. 1876 </w:t>
      </w:r>
      <w:bookmarkStart w:id="1" w:name="AmendsCurrentLaw"/>
      <w:bookmarkEnd w:id="1"/>
      <w:r>
        <w:rPr>
          <w:rFonts w:cs="Times New Roman"/>
          <w:szCs w:val="24"/>
        </w:rPr>
        <w:t xml:space="preserve">amends current law </w:t>
      </w:r>
      <w:r>
        <w:t>relating to emergency planning for the continued treatment and safety of end stage renal disease facility patients.</w:t>
      </w:r>
    </w:p>
    <w:p w:rsidR="00EC28A6" w:rsidRPr="00C67F0B" w:rsidRDefault="00EC28A6" w:rsidP="00A34F5F">
      <w:pPr>
        <w:spacing w:after="0" w:line="240" w:lineRule="auto"/>
        <w:jc w:val="both"/>
        <w:rPr>
          <w:rFonts w:eastAsia="Times New Roman" w:cs="Times New Roman"/>
          <w:szCs w:val="24"/>
        </w:rPr>
      </w:pPr>
    </w:p>
    <w:p w:rsidR="00EC28A6" w:rsidRPr="005C2A78" w:rsidRDefault="00EC28A6" w:rsidP="00A34F5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73A7E365F104213B69B732406B04650"/>
          </w:placeholder>
        </w:sdtPr>
        <w:sdtContent>
          <w:r>
            <w:rPr>
              <w:rFonts w:eastAsia="Times New Roman" w:cs="Times New Roman"/>
              <w:b/>
              <w:szCs w:val="24"/>
              <w:u w:val="single"/>
            </w:rPr>
            <w:t>RULEMAKING AUTHORITY</w:t>
          </w:r>
        </w:sdtContent>
      </w:sdt>
    </w:p>
    <w:p w:rsidR="00EC28A6" w:rsidRPr="006529C4" w:rsidRDefault="00EC28A6" w:rsidP="00A34F5F">
      <w:pPr>
        <w:spacing w:after="0" w:line="240" w:lineRule="auto"/>
        <w:jc w:val="both"/>
        <w:rPr>
          <w:rFonts w:cs="Times New Roman"/>
          <w:szCs w:val="24"/>
        </w:rPr>
      </w:pPr>
    </w:p>
    <w:p w:rsidR="00EC28A6" w:rsidRPr="006529C4" w:rsidRDefault="00EC28A6" w:rsidP="00A34F5F">
      <w:pPr>
        <w:spacing w:after="0" w:line="240" w:lineRule="auto"/>
        <w:jc w:val="both"/>
        <w:rPr>
          <w:rFonts w:cs="Times New Roman"/>
          <w:szCs w:val="24"/>
        </w:rPr>
      </w:pPr>
      <w:r>
        <w:rPr>
          <w:rFonts w:cs="Times New Roman"/>
          <w:szCs w:val="24"/>
        </w:rPr>
        <w:t xml:space="preserve">Rulemaking authority is expressly granted to </w:t>
      </w:r>
      <w:r>
        <w:t xml:space="preserve">the executive commissioner of the Health and Human Services Commission in </w:t>
      </w:r>
      <w:r w:rsidRPr="00C67F0B">
        <w:rPr>
          <w:rFonts w:eastAsia="Times New Roman" w:cs="Times New Roman"/>
          <w:szCs w:val="24"/>
        </w:rPr>
        <w:t>SECTION 2</w:t>
      </w:r>
      <w:r>
        <w:rPr>
          <w:rFonts w:eastAsia="Times New Roman" w:cs="Times New Roman"/>
          <w:szCs w:val="24"/>
        </w:rPr>
        <w:t xml:space="preserve"> (</w:t>
      </w:r>
      <w:r w:rsidRPr="00C67F0B">
        <w:rPr>
          <w:rFonts w:eastAsia="Times New Roman" w:cs="Times New Roman"/>
          <w:szCs w:val="24"/>
        </w:rPr>
        <w:t>Section 773.112, Health and Safety Code</w:t>
      </w:r>
      <w:r>
        <w:rPr>
          <w:rFonts w:eastAsia="Times New Roman" w:cs="Times New Roman"/>
          <w:szCs w:val="24"/>
        </w:rPr>
        <w:t xml:space="preserve">) </w:t>
      </w:r>
      <w:r>
        <w:rPr>
          <w:rFonts w:cs="Times New Roman"/>
          <w:szCs w:val="24"/>
        </w:rPr>
        <w:t>of this bill.</w:t>
      </w:r>
    </w:p>
    <w:p w:rsidR="00EC28A6" w:rsidRDefault="00EC28A6" w:rsidP="00A34F5F">
      <w:pPr>
        <w:spacing w:after="0" w:line="240" w:lineRule="auto"/>
        <w:jc w:val="both"/>
        <w:rPr>
          <w:rFonts w:cs="Times New Roman"/>
          <w:szCs w:val="24"/>
        </w:rPr>
      </w:pPr>
    </w:p>
    <w:p w:rsidR="00EC28A6" w:rsidRDefault="00EC28A6" w:rsidP="00A34F5F">
      <w:pPr>
        <w:spacing w:after="0" w:line="240" w:lineRule="auto"/>
        <w:jc w:val="both"/>
        <w:rPr>
          <w:rFonts w:cs="Times New Roman"/>
          <w:szCs w:val="24"/>
        </w:rPr>
      </w:pPr>
      <w:r>
        <w:rPr>
          <w:rFonts w:cs="Times New Roman"/>
          <w:szCs w:val="24"/>
        </w:rPr>
        <w:t xml:space="preserve">Rulemaking authority previously granted to </w:t>
      </w:r>
      <w:r>
        <w:rPr>
          <w:rFonts w:eastAsia="Times New Roman" w:cs="Times New Roman"/>
          <w:szCs w:val="24"/>
        </w:rPr>
        <w:t>the Public Utility Commission of Texas</w:t>
      </w:r>
      <w:r>
        <w:rPr>
          <w:rFonts w:cs="Times New Roman"/>
          <w:szCs w:val="24"/>
        </w:rPr>
        <w:t xml:space="preserve"> is modified in </w:t>
      </w:r>
      <w:r>
        <w:rPr>
          <w:rFonts w:eastAsia="Times New Roman" w:cs="Times New Roman"/>
          <w:szCs w:val="24"/>
        </w:rPr>
        <w:t>SECTION 3 (</w:t>
      </w:r>
      <w:r w:rsidRPr="00C67F0B">
        <w:rPr>
          <w:rFonts w:eastAsia="Times New Roman" w:cs="Times New Roman"/>
          <w:szCs w:val="24"/>
        </w:rPr>
        <w:t>Sections 38.072</w:t>
      </w:r>
      <w:r>
        <w:rPr>
          <w:rFonts w:eastAsia="Times New Roman" w:cs="Times New Roman"/>
          <w:szCs w:val="24"/>
        </w:rPr>
        <w:t>,</w:t>
      </w:r>
      <w:r w:rsidRPr="00C67F0B">
        <w:rPr>
          <w:rFonts w:eastAsia="Times New Roman" w:cs="Times New Roman"/>
          <w:szCs w:val="24"/>
        </w:rPr>
        <w:t xml:space="preserve"> Utilities Code</w:t>
      </w:r>
      <w:r>
        <w:rPr>
          <w:rFonts w:eastAsia="Times New Roman" w:cs="Times New Roman"/>
          <w:szCs w:val="24"/>
        </w:rPr>
        <w:t>) of this bill.</w:t>
      </w:r>
    </w:p>
    <w:p w:rsidR="00EC28A6" w:rsidRPr="006529C4" w:rsidRDefault="00EC28A6" w:rsidP="00A34F5F">
      <w:pPr>
        <w:spacing w:after="0" w:line="240" w:lineRule="auto"/>
        <w:jc w:val="both"/>
        <w:rPr>
          <w:rFonts w:cs="Times New Roman"/>
          <w:szCs w:val="24"/>
        </w:rPr>
      </w:pPr>
    </w:p>
    <w:p w:rsidR="00EC28A6" w:rsidRPr="005C2A78" w:rsidRDefault="00EC28A6" w:rsidP="00A34F5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208AA7AD32243A080BF0958098C579A"/>
          </w:placeholder>
        </w:sdtPr>
        <w:sdtContent>
          <w:r>
            <w:rPr>
              <w:rFonts w:eastAsia="Times New Roman" w:cs="Times New Roman"/>
              <w:b/>
              <w:szCs w:val="24"/>
              <w:u w:val="single"/>
            </w:rPr>
            <w:t>SECTION BY SECTION ANALYSIS</w:t>
          </w:r>
        </w:sdtContent>
      </w:sdt>
    </w:p>
    <w:p w:rsidR="00EC28A6" w:rsidRPr="005C2A78"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C67F0B">
        <w:rPr>
          <w:rFonts w:eastAsia="Times New Roman" w:cs="Times New Roman"/>
          <w:szCs w:val="24"/>
        </w:rPr>
        <w:t>Amends Subchapter B, Chapter 251, Health and Safety Code, by adding Sections 251.016 and 251.017, as follows:</w:t>
      </w:r>
    </w:p>
    <w:p w:rsidR="00EC28A6" w:rsidRPr="00C67F0B"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720"/>
        <w:jc w:val="both"/>
        <w:rPr>
          <w:rFonts w:eastAsia="Times New Roman" w:cs="Times New Roman"/>
          <w:szCs w:val="24"/>
        </w:rPr>
      </w:pPr>
      <w:r w:rsidRPr="00C67F0B">
        <w:rPr>
          <w:rFonts w:eastAsia="Times New Roman" w:cs="Times New Roman"/>
          <w:szCs w:val="24"/>
        </w:rPr>
        <w:t>Sec. 251.016. EMERGENCY PREPAREDNESS AND CONTINGENCY OPERATIONS PLANNING. (a) Defines "emergency" for this section and Section 251.017.</w:t>
      </w:r>
    </w:p>
    <w:p w:rsidR="00EC28A6" w:rsidRPr="00C67F0B"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(b) Requires each end stage renal disease facility to adopt a written emergency preparedness and contingency operations plan to address the provision of care during an emergency. Requires that the plan:</w:t>
      </w:r>
    </w:p>
    <w:p w:rsidR="00EC28A6" w:rsidRPr="00C67F0B"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(1) be updated annually and approved by the facility's leadership each time the plan is updated;</w:t>
      </w:r>
    </w:p>
    <w:p w:rsidR="00EC28A6" w:rsidRPr="00C67F0B" w:rsidRDefault="00EC28A6" w:rsidP="00A34F5F">
      <w:pPr>
        <w:spacing w:after="0" w:line="240" w:lineRule="auto"/>
        <w:ind w:left="216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 xml:space="preserve">(2) include procedures for notifying </w:t>
      </w:r>
      <w:r>
        <w:rPr>
          <w:rFonts w:eastAsia="Times New Roman" w:cs="Times New Roman"/>
          <w:szCs w:val="24"/>
        </w:rPr>
        <w:t>each of certain</w:t>
      </w:r>
      <w:r w:rsidRPr="00C67F0B">
        <w:rPr>
          <w:rFonts w:eastAsia="Times New Roman" w:cs="Times New Roman"/>
          <w:szCs w:val="24"/>
        </w:rPr>
        <w:t xml:space="preserve"> entities as soon as practicable regarding the closure or reduction in hours of operation of t</w:t>
      </w:r>
      <w:r>
        <w:rPr>
          <w:rFonts w:eastAsia="Times New Roman" w:cs="Times New Roman"/>
          <w:szCs w:val="24"/>
        </w:rPr>
        <w:t>he facility due to an emergency;</w:t>
      </w:r>
    </w:p>
    <w:p w:rsidR="00EC28A6" w:rsidRPr="00C67F0B" w:rsidRDefault="00EC28A6" w:rsidP="00A34F5F">
      <w:pPr>
        <w:spacing w:after="0" w:line="240" w:lineRule="auto"/>
        <w:ind w:left="216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(3) except as provided by Subsection (d), require the facility to execute a contract with another end stage renal disease facility located within a 100-mile radius of the facility stipulating that the other end stage renal disease facility will provide dialysis treatment to facility patients who are unable to receive scheduled dialysis treatment due to the facility's closure or reduction in hours; and</w:t>
      </w:r>
    </w:p>
    <w:p w:rsidR="00EC28A6" w:rsidRPr="00C67F0B" w:rsidRDefault="00EC28A6" w:rsidP="00A34F5F">
      <w:pPr>
        <w:spacing w:after="0" w:line="240" w:lineRule="auto"/>
        <w:ind w:left="2160"/>
        <w:jc w:val="both"/>
        <w:rPr>
          <w:rFonts w:eastAsia="Times New Roman" w:cs="Times New Roman"/>
          <w:szCs w:val="24"/>
        </w:rPr>
      </w:pPr>
    </w:p>
    <w:p w:rsidR="00EC28A6"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(4) include a documented patient communications plan that includes procedures for notifying a patient when that patient's scheduled dialysis treatment is interrupted.</w:t>
      </w:r>
    </w:p>
    <w:p w:rsidR="00EC28A6"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(c) Requires each end stage renal disease facility to develop and requires the facility's leadership to approve a continuity of care plan for the provision of dialysis treatment to facility patients during an emergency as part of the emergency preparedness and contingency operations plan adopted under Subsection (b). Requires the facility to provide a copy of the plan to each patient before providing or scheduling dialysis treatment. Requires that the plan include:</w:t>
      </w:r>
    </w:p>
    <w:p w:rsidR="00EC28A6" w:rsidRPr="00C67F0B"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(1) procedures for distributing written materials to facility patients that specifically describe the facility's emergency preparedness and contingency operations plan adopted under Subsection (b); and</w:t>
      </w:r>
    </w:p>
    <w:p w:rsidR="00EC28A6" w:rsidRPr="00C67F0B" w:rsidRDefault="00EC28A6" w:rsidP="00A34F5F">
      <w:pPr>
        <w:spacing w:after="0" w:line="240" w:lineRule="auto"/>
        <w:ind w:left="2160"/>
        <w:jc w:val="both"/>
        <w:rPr>
          <w:rFonts w:eastAsia="Times New Roman" w:cs="Times New Roman"/>
          <w:szCs w:val="24"/>
        </w:rPr>
      </w:pPr>
    </w:p>
    <w:p w:rsidR="00EC28A6"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(2) detailed procedures, based on the facility's patient population, on the facility's contingency plans, including transportation options, for patients to access dialysis treatment at each end stage renal disease facility with which the facility has an agreement or made advance preparations to ensure that the facility's patients have the option to receive dialysis treatment.</w:t>
      </w:r>
    </w:p>
    <w:p w:rsidR="00EC28A6" w:rsidRDefault="00EC28A6" w:rsidP="00A34F5F">
      <w:pPr>
        <w:spacing w:after="0" w:line="240" w:lineRule="auto"/>
        <w:jc w:val="both"/>
        <w:rPr>
          <w:rFonts w:eastAsia="Times New Roman" w:cs="Times New Roman"/>
          <w:szCs w:val="24"/>
        </w:rPr>
      </w:pPr>
    </w:p>
    <w:p w:rsidR="00EC28A6"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 xml:space="preserve">(d) Provides that an end stage renal disease facility is not required to contract with another end stage renal disease facility under Subsection (b)(3) if no other end stage renal disease facility is located within a 100-mile radius of the facility and if the facility obtains written approval from the </w:t>
      </w:r>
      <w:r>
        <w:rPr>
          <w:rFonts w:eastAsia="Times New Roman" w:cs="Times New Roman"/>
          <w:szCs w:val="24"/>
        </w:rPr>
        <w:t>Department of State Health Services (DSHS)</w:t>
      </w:r>
      <w:r w:rsidRPr="00C67F0B">
        <w:rPr>
          <w:rFonts w:eastAsia="Times New Roman" w:cs="Times New Roman"/>
          <w:szCs w:val="24"/>
        </w:rPr>
        <w:t xml:space="preserve"> </w:t>
      </w:r>
      <w:r w:rsidRPr="00C67F0B">
        <w:rPr>
          <w:rFonts w:eastAsia="Times New Roman" w:cs="Times New Roman"/>
          <w:szCs w:val="24"/>
        </w:rPr>
        <w:t>exempting the facility from that requirement.</w:t>
      </w:r>
    </w:p>
    <w:p w:rsidR="00EC28A6" w:rsidRDefault="00EC28A6" w:rsidP="00A34F5F">
      <w:pPr>
        <w:spacing w:after="0" w:line="240" w:lineRule="auto"/>
        <w:ind w:left="1440"/>
        <w:jc w:val="both"/>
        <w:rPr>
          <w:rFonts w:eastAsia="Times New Roman" w:cs="Times New Roman"/>
          <w:szCs w:val="24"/>
        </w:rPr>
      </w:pPr>
    </w:p>
    <w:p w:rsidR="00EC28A6"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 xml:space="preserve">(e) Requires an end stage renal disease facility, on request, to provide the facility's emergency preparedness and contingency operations plan adopted under Subsection (b) to </w:t>
      </w:r>
      <w:r>
        <w:rPr>
          <w:rFonts w:eastAsia="Times New Roman" w:cs="Times New Roman"/>
          <w:szCs w:val="24"/>
        </w:rPr>
        <w:t>DSHS</w:t>
      </w:r>
      <w:r w:rsidRPr="00C67F0B">
        <w:rPr>
          <w:rFonts w:eastAsia="Times New Roman" w:cs="Times New Roman"/>
          <w:szCs w:val="24"/>
        </w:rPr>
        <w:t>, to each hospital with which the facility has a transfer agreement, and to the trauma service area regional advisory council that serves the geographic area in which the facility is located.</w:t>
      </w:r>
    </w:p>
    <w:p w:rsidR="00EC28A6" w:rsidRDefault="00EC28A6" w:rsidP="00A34F5F">
      <w:pPr>
        <w:spacing w:after="0" w:line="240" w:lineRule="auto"/>
        <w:ind w:left="1440"/>
        <w:jc w:val="both"/>
        <w:rPr>
          <w:rFonts w:eastAsia="Times New Roman" w:cs="Times New Roman"/>
          <w:szCs w:val="24"/>
        </w:rPr>
      </w:pPr>
    </w:p>
    <w:p w:rsidR="00EC28A6"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(f) Requires each end stage renal disease facility to provide annual training to facility staff on the facility's emergency preparedness and contingency operations plan under this section.</w:t>
      </w:r>
    </w:p>
    <w:p w:rsidR="00EC28A6" w:rsidRDefault="00EC28A6" w:rsidP="00A34F5F">
      <w:pPr>
        <w:spacing w:after="0" w:line="240" w:lineRule="auto"/>
        <w:ind w:left="1440"/>
        <w:jc w:val="both"/>
        <w:rPr>
          <w:rFonts w:eastAsia="Times New Roman" w:cs="Times New Roman"/>
          <w:szCs w:val="24"/>
        </w:rPr>
      </w:pPr>
    </w:p>
    <w:p w:rsidR="00EC28A6" w:rsidRPr="00C67F0B"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(g) Requires each end stage renal disease facility to annually contact a local and state disaster management representative, an emergency operations center, and a trauma service area regional advisory council to:</w:t>
      </w:r>
    </w:p>
    <w:p w:rsidR="00EC28A6" w:rsidRPr="00C67F0B" w:rsidRDefault="00EC28A6" w:rsidP="00A34F5F">
      <w:pPr>
        <w:spacing w:after="0" w:line="240" w:lineRule="auto"/>
        <w:ind w:left="144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(1) request comments on whether the emergency preparedness and contingency operations plan adopted by the facility under Subsection (b) should be modified; and</w:t>
      </w:r>
    </w:p>
    <w:p w:rsidR="00EC28A6" w:rsidRPr="00C67F0B" w:rsidRDefault="00EC28A6" w:rsidP="00A34F5F">
      <w:pPr>
        <w:spacing w:after="0" w:line="240" w:lineRule="auto"/>
        <w:ind w:left="2160"/>
        <w:jc w:val="both"/>
        <w:rPr>
          <w:rFonts w:eastAsia="Times New Roman" w:cs="Times New Roman"/>
          <w:szCs w:val="24"/>
        </w:rPr>
      </w:pPr>
    </w:p>
    <w:p w:rsidR="00EC28A6"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(2) ensure that local agencies, regional agencies, state agencies, and hospitals are aware of the facility, the facility's policy on provision of life-saving treatment, the facility's patient population, and the anticipated number of patients affected.</w:t>
      </w:r>
    </w:p>
    <w:p w:rsidR="00EC28A6" w:rsidRDefault="00EC28A6" w:rsidP="00A34F5F">
      <w:pPr>
        <w:spacing w:after="0" w:line="240" w:lineRule="auto"/>
        <w:jc w:val="both"/>
        <w:rPr>
          <w:rFonts w:eastAsia="Times New Roman" w:cs="Times New Roman"/>
          <w:szCs w:val="24"/>
        </w:rPr>
      </w:pPr>
    </w:p>
    <w:p w:rsidR="00EC28A6" w:rsidRDefault="00EC28A6" w:rsidP="00A34F5F">
      <w:pPr>
        <w:spacing w:after="0" w:line="240" w:lineRule="auto"/>
        <w:ind w:left="720"/>
        <w:jc w:val="both"/>
        <w:rPr>
          <w:rFonts w:eastAsia="Times New Roman" w:cs="Times New Roman"/>
          <w:szCs w:val="24"/>
        </w:rPr>
      </w:pPr>
      <w:r w:rsidRPr="00C67F0B">
        <w:rPr>
          <w:rFonts w:eastAsia="Times New Roman" w:cs="Times New Roman"/>
          <w:szCs w:val="24"/>
        </w:rPr>
        <w:t>Sec. 251.017. EMERGENCY CONTINGENCY PLAN FOR POWER AND POTABLE WATER. (a) Requires each end stage renal disease facility to adopt an emergency contingency plan for the continuity of essential building systems during an emergency. Requires that a plan adopted by a facility under this subsection meet the requirements described by Subsection (b), (d), or (e).</w:t>
      </w:r>
    </w:p>
    <w:p w:rsidR="00EC28A6"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(b) Requires an end stage renal disease facility, unless the facility adopts a plan described by Subsection (d) or (e), to adopt an emergency contingency plan as required by Subsection (a) under which the facility is required:</w:t>
      </w:r>
    </w:p>
    <w:p w:rsidR="00EC28A6" w:rsidRPr="00C67F0B"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(1) to have an on-site emergency generator that:</w:t>
      </w:r>
    </w:p>
    <w:p w:rsidR="00EC28A6" w:rsidRPr="00C67F0B"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ind w:left="2880"/>
        <w:jc w:val="both"/>
        <w:rPr>
          <w:rFonts w:eastAsia="Times New Roman" w:cs="Times New Roman"/>
          <w:szCs w:val="24"/>
        </w:rPr>
      </w:pPr>
      <w:r w:rsidRPr="00C67F0B">
        <w:rPr>
          <w:rFonts w:eastAsia="Times New Roman" w:cs="Times New Roman"/>
          <w:szCs w:val="24"/>
        </w:rPr>
        <w:t>(A) has a type 2 essential electrical distribution system in accordance with the National Fire Protection Association 99, Section 4.5, and the National Fire Protection Association 110;</w:t>
      </w:r>
    </w:p>
    <w:p w:rsidR="00EC28A6" w:rsidRPr="00C67F0B" w:rsidRDefault="00EC28A6" w:rsidP="00A34F5F">
      <w:pPr>
        <w:spacing w:after="0" w:line="240" w:lineRule="auto"/>
        <w:ind w:left="2880"/>
        <w:jc w:val="both"/>
        <w:rPr>
          <w:rFonts w:eastAsia="Times New Roman" w:cs="Times New Roman"/>
          <w:szCs w:val="24"/>
        </w:rPr>
      </w:pPr>
    </w:p>
    <w:p w:rsidR="00EC28A6" w:rsidRPr="00C67F0B" w:rsidRDefault="00EC28A6" w:rsidP="00A34F5F">
      <w:pPr>
        <w:spacing w:after="0" w:line="240" w:lineRule="auto"/>
        <w:ind w:left="2880"/>
        <w:jc w:val="both"/>
        <w:rPr>
          <w:rFonts w:eastAsia="Times New Roman" w:cs="Times New Roman"/>
          <w:szCs w:val="24"/>
        </w:rPr>
      </w:pPr>
      <w:r w:rsidRPr="00C67F0B">
        <w:rPr>
          <w:rFonts w:eastAsia="Times New Roman" w:cs="Times New Roman"/>
          <w:szCs w:val="24"/>
        </w:rPr>
        <w:t>(B) is installed, tested, and maintained in accordance with the National Fire Protection Association 99, Section 4.5.4, and the National Fire Protection Association 110; and</w:t>
      </w:r>
    </w:p>
    <w:p w:rsidR="00EC28A6" w:rsidRPr="00C67F0B"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ind w:left="2880"/>
        <w:jc w:val="both"/>
        <w:rPr>
          <w:rFonts w:eastAsia="Times New Roman" w:cs="Times New Roman"/>
          <w:szCs w:val="24"/>
        </w:rPr>
      </w:pPr>
      <w:r w:rsidRPr="00C67F0B">
        <w:rPr>
          <w:rFonts w:eastAsia="Times New Roman" w:cs="Times New Roman"/>
          <w:szCs w:val="24"/>
        </w:rPr>
        <w:t>(C) is kept at all times not less than 10 feet from the electrical transformer;</w:t>
      </w:r>
    </w:p>
    <w:p w:rsidR="00EC28A6" w:rsidRPr="00C67F0B"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(2) except as provided by Subsection (c), to maintain an on-site fuel source that contains enough fuel capacity to power the on-site generator for not less than 24 hours, as determined by the electrical load demand on the emergency generator for that period;</w:t>
      </w:r>
    </w:p>
    <w:p w:rsidR="00EC28A6" w:rsidRPr="00C67F0B"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(3) to maintain a sufficient quantity of potable water on-site to operate the facility's water treatment system for not less than 24 hours; and</w:t>
      </w:r>
    </w:p>
    <w:p w:rsidR="00EC28A6" w:rsidRPr="00C67F0B" w:rsidRDefault="00EC28A6" w:rsidP="00A34F5F">
      <w:pPr>
        <w:spacing w:after="0" w:line="240" w:lineRule="auto"/>
        <w:ind w:left="2160"/>
        <w:jc w:val="both"/>
        <w:rPr>
          <w:rFonts w:eastAsia="Times New Roman" w:cs="Times New Roman"/>
          <w:szCs w:val="24"/>
        </w:rPr>
      </w:pPr>
    </w:p>
    <w:p w:rsidR="00EC28A6"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(4) to maintain a water valve connection that allows an outside vendor to provide potable water to operate the facility's water treatment system.</w:t>
      </w:r>
    </w:p>
    <w:p w:rsidR="00EC28A6" w:rsidRDefault="00EC28A6" w:rsidP="00A34F5F">
      <w:pPr>
        <w:spacing w:after="0" w:line="240" w:lineRule="auto"/>
        <w:jc w:val="both"/>
        <w:rPr>
          <w:rFonts w:eastAsia="Times New Roman" w:cs="Times New Roman"/>
          <w:szCs w:val="24"/>
        </w:rPr>
      </w:pPr>
    </w:p>
    <w:p w:rsidR="00EC28A6"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(c) Provides that an end stage renal disease facility that adopts an emergency contingency plan under Subsection (b) is not required to maintain an on-site fuel source described by Subsection (b)(2) if the facility's on-site emergency generator uses a vapor liquefied petroleum gas system with a dedicated fuel supply.</w:t>
      </w:r>
    </w:p>
    <w:p w:rsidR="00EC28A6" w:rsidRDefault="00EC28A6" w:rsidP="00A34F5F">
      <w:pPr>
        <w:spacing w:after="0" w:line="240" w:lineRule="auto"/>
        <w:ind w:left="1440"/>
        <w:jc w:val="both"/>
        <w:rPr>
          <w:rFonts w:eastAsia="Times New Roman" w:cs="Times New Roman"/>
          <w:szCs w:val="24"/>
        </w:rPr>
      </w:pPr>
    </w:p>
    <w:p w:rsidR="00EC28A6" w:rsidRPr="00C67F0B"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(d) Requires an end stage renal disease facility, unless the facility adopts a plan described by Subsection (b) or (e), to adopt an emergency contingency plan as required by Subsection (a) under which the facility is required:</w:t>
      </w:r>
    </w:p>
    <w:p w:rsidR="00EC28A6" w:rsidRPr="00C67F0B" w:rsidRDefault="00EC28A6" w:rsidP="00A34F5F">
      <w:pPr>
        <w:spacing w:after="0" w:line="240" w:lineRule="auto"/>
        <w:ind w:left="144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(1) to maintain sufficient resources to provide on demand or to execute a contract with an outside supplier or vendor to provide on demand:</w:t>
      </w:r>
    </w:p>
    <w:p w:rsidR="00EC28A6" w:rsidRPr="00C67F0B" w:rsidRDefault="00EC28A6" w:rsidP="00A34F5F">
      <w:pPr>
        <w:spacing w:after="0" w:line="240" w:lineRule="auto"/>
        <w:ind w:left="1440"/>
        <w:jc w:val="both"/>
        <w:rPr>
          <w:rFonts w:eastAsia="Times New Roman" w:cs="Times New Roman"/>
          <w:szCs w:val="24"/>
        </w:rPr>
      </w:pPr>
    </w:p>
    <w:p w:rsidR="00EC28A6" w:rsidRPr="00C67F0B" w:rsidRDefault="00EC28A6" w:rsidP="00A34F5F">
      <w:pPr>
        <w:spacing w:after="0" w:line="240" w:lineRule="auto"/>
        <w:ind w:left="2880"/>
        <w:jc w:val="both"/>
        <w:rPr>
          <w:rFonts w:eastAsia="Times New Roman" w:cs="Times New Roman"/>
          <w:szCs w:val="24"/>
        </w:rPr>
      </w:pPr>
      <w:r w:rsidRPr="00C67F0B">
        <w:rPr>
          <w:rFonts w:eastAsia="Times New Roman" w:cs="Times New Roman"/>
          <w:szCs w:val="24"/>
        </w:rPr>
        <w:t>(A) a po</w:t>
      </w:r>
      <w:r>
        <w:rPr>
          <w:rFonts w:eastAsia="Times New Roman" w:cs="Times New Roman"/>
          <w:szCs w:val="24"/>
        </w:rPr>
        <w:t xml:space="preserve">rtable emergency generator that </w:t>
      </w:r>
      <w:r w:rsidRPr="00C67F0B">
        <w:rPr>
          <w:rFonts w:eastAsia="Times New Roman" w:cs="Times New Roman"/>
          <w:szCs w:val="24"/>
        </w:rPr>
        <w:t>has an electrical transfer switch with a plug-in device to provide emergency power for patient care areas and complies with National Fire Protection Ass</w:t>
      </w:r>
      <w:r>
        <w:rPr>
          <w:rFonts w:eastAsia="Times New Roman" w:cs="Times New Roman"/>
          <w:szCs w:val="24"/>
        </w:rPr>
        <w:t xml:space="preserve">ociation 99, Section 4.5.2.2.2, </w:t>
      </w:r>
      <w:r w:rsidRPr="00C67F0B">
        <w:rPr>
          <w:rFonts w:eastAsia="Times New Roman" w:cs="Times New Roman"/>
          <w:szCs w:val="24"/>
        </w:rPr>
        <w:t>and</w:t>
      </w:r>
      <w:r>
        <w:rPr>
          <w:rFonts w:eastAsia="Times New Roman" w:cs="Times New Roman"/>
          <w:szCs w:val="24"/>
        </w:rPr>
        <w:t xml:space="preserve"> that </w:t>
      </w:r>
      <w:r w:rsidRPr="00C67F0B">
        <w:rPr>
          <w:rFonts w:eastAsia="Times New Roman" w:cs="Times New Roman"/>
          <w:szCs w:val="24"/>
        </w:rPr>
        <w:t>has a water valve connection that allows for the use of potable water to operate the facility's water treatment system;</w:t>
      </w:r>
    </w:p>
    <w:p w:rsidR="00EC28A6" w:rsidRPr="00C67F0B" w:rsidRDefault="00EC28A6" w:rsidP="00A34F5F">
      <w:pPr>
        <w:spacing w:after="0" w:line="240" w:lineRule="auto"/>
        <w:ind w:left="2880"/>
        <w:jc w:val="both"/>
        <w:rPr>
          <w:rFonts w:eastAsia="Times New Roman" w:cs="Times New Roman"/>
          <w:szCs w:val="24"/>
        </w:rPr>
      </w:pPr>
    </w:p>
    <w:p w:rsidR="00EC28A6" w:rsidRPr="00C67F0B" w:rsidRDefault="00EC28A6" w:rsidP="00A34F5F">
      <w:pPr>
        <w:spacing w:after="0" w:line="240" w:lineRule="auto"/>
        <w:ind w:left="2880"/>
        <w:jc w:val="both"/>
        <w:rPr>
          <w:rFonts w:eastAsia="Times New Roman" w:cs="Times New Roman"/>
          <w:szCs w:val="24"/>
        </w:rPr>
      </w:pPr>
      <w:r w:rsidRPr="00C67F0B">
        <w:rPr>
          <w:rFonts w:eastAsia="Times New Roman" w:cs="Times New Roman"/>
          <w:szCs w:val="24"/>
        </w:rPr>
        <w:t>(B) an alternate power source for light, includ</w:t>
      </w:r>
      <w:r>
        <w:rPr>
          <w:rFonts w:eastAsia="Times New Roman" w:cs="Times New Roman"/>
          <w:szCs w:val="24"/>
        </w:rPr>
        <w:t xml:space="preserve">ing battery-powered light, that </w:t>
      </w:r>
      <w:r w:rsidRPr="00C67F0B">
        <w:rPr>
          <w:rFonts w:eastAsia="Times New Roman" w:cs="Times New Roman"/>
          <w:szCs w:val="24"/>
        </w:rPr>
        <w:t>is separate and independent from the normal electrical po</w:t>
      </w:r>
      <w:r>
        <w:rPr>
          <w:rFonts w:eastAsia="Times New Roman" w:cs="Times New Roman"/>
          <w:szCs w:val="24"/>
        </w:rPr>
        <w:t xml:space="preserve">wer source, </w:t>
      </w:r>
      <w:r w:rsidRPr="00C67F0B">
        <w:rPr>
          <w:rFonts w:eastAsia="Times New Roman" w:cs="Times New Roman"/>
          <w:szCs w:val="24"/>
        </w:rPr>
        <w:t>is capable of providing light for not</w:t>
      </w:r>
      <w:r>
        <w:rPr>
          <w:rFonts w:eastAsia="Times New Roman" w:cs="Times New Roman"/>
          <w:szCs w:val="24"/>
        </w:rPr>
        <w:t xml:space="preserve"> less than one and a half hours, </w:t>
      </w:r>
      <w:r w:rsidRPr="00C67F0B">
        <w:rPr>
          <w:rFonts w:eastAsia="Times New Roman" w:cs="Times New Roman"/>
          <w:szCs w:val="24"/>
        </w:rPr>
        <w:t xml:space="preserve">is capable of providing a sufficient amount of light to allow for the </w:t>
      </w:r>
      <w:r>
        <w:rPr>
          <w:rFonts w:eastAsia="Times New Roman" w:cs="Times New Roman"/>
          <w:szCs w:val="24"/>
        </w:rPr>
        <w:t>safe evacuation of the building,</w:t>
      </w:r>
      <w:r w:rsidRPr="00C67F0B">
        <w:rPr>
          <w:rFonts w:eastAsia="Times New Roman" w:cs="Times New Roman"/>
          <w:szCs w:val="24"/>
        </w:rPr>
        <w:t xml:space="preserve"> and</w:t>
      </w:r>
      <w:r>
        <w:rPr>
          <w:rFonts w:eastAsia="Times New Roman" w:cs="Times New Roman"/>
          <w:szCs w:val="24"/>
        </w:rPr>
        <w:t xml:space="preserve"> </w:t>
      </w:r>
      <w:r w:rsidRPr="00C67F0B">
        <w:rPr>
          <w:rFonts w:eastAsia="Times New Roman" w:cs="Times New Roman"/>
          <w:szCs w:val="24"/>
        </w:rPr>
        <w:t>is maintained and tested not less than four times each year; and</w:t>
      </w:r>
    </w:p>
    <w:p w:rsidR="00EC28A6" w:rsidRPr="00C67F0B" w:rsidRDefault="00EC28A6" w:rsidP="00A34F5F">
      <w:pPr>
        <w:spacing w:after="0" w:line="240" w:lineRule="auto"/>
        <w:ind w:left="2880"/>
        <w:jc w:val="both"/>
        <w:rPr>
          <w:rFonts w:eastAsia="Times New Roman" w:cs="Times New Roman"/>
          <w:szCs w:val="24"/>
        </w:rPr>
      </w:pPr>
    </w:p>
    <w:p w:rsidR="00EC28A6" w:rsidRDefault="00EC28A6" w:rsidP="00A34F5F">
      <w:pPr>
        <w:spacing w:after="0" w:line="240" w:lineRule="auto"/>
        <w:ind w:left="2880"/>
        <w:jc w:val="both"/>
        <w:rPr>
          <w:rFonts w:eastAsia="Times New Roman" w:cs="Times New Roman"/>
          <w:szCs w:val="24"/>
        </w:rPr>
      </w:pPr>
      <w:r w:rsidRPr="00C67F0B">
        <w:rPr>
          <w:rFonts w:eastAsia="Times New Roman" w:cs="Times New Roman"/>
          <w:szCs w:val="24"/>
        </w:rPr>
        <w:t>(C) potable water;</w:t>
      </w:r>
    </w:p>
    <w:p w:rsidR="00EC28A6"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(2) to implement the plan when the facility loses electrical power due to a natural or man-made event during which the electrical power may not be restored within 24 hours; and</w:t>
      </w:r>
    </w:p>
    <w:p w:rsidR="00EC28A6" w:rsidRPr="00C67F0B" w:rsidRDefault="00EC28A6" w:rsidP="00A34F5F">
      <w:pPr>
        <w:spacing w:after="0" w:line="240" w:lineRule="auto"/>
        <w:ind w:left="2160"/>
        <w:jc w:val="both"/>
        <w:rPr>
          <w:rFonts w:eastAsia="Times New Roman" w:cs="Times New Roman"/>
          <w:szCs w:val="24"/>
        </w:rPr>
      </w:pPr>
    </w:p>
    <w:p w:rsidR="00EC28A6"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(3) to contact the outside supplier or vendor with which the facility contracts under Subdivision (1), if applicable, not later than 36 hours after the facility loses electrical power.</w:t>
      </w:r>
    </w:p>
    <w:p w:rsidR="00EC28A6"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1440"/>
        <w:jc w:val="both"/>
        <w:rPr>
          <w:rFonts w:eastAsia="Times New Roman" w:cs="Times New Roman"/>
          <w:szCs w:val="24"/>
        </w:rPr>
      </w:pPr>
      <w:r w:rsidRPr="00C67F0B">
        <w:rPr>
          <w:rFonts w:eastAsia="Times New Roman" w:cs="Times New Roman"/>
          <w:szCs w:val="24"/>
        </w:rPr>
        <w:t>(e) Requires an end stage renal disease facility, unless the facility adopts a plan described by Subsection (b) or (d), to adopt an emergency contingency plan as required by Subsection (a) under which the facility is required to execute a contract with another end stage renal disease facility that is located within a 100-mile radius of the facility stipulating that the other end stage renal disease facility will provide emergency contingency care to the facility's patients. Requires the other end stage renal disease facility with which the facility contracts to have an alternate power source for light, including battery-powered light, that:</w:t>
      </w:r>
    </w:p>
    <w:p w:rsidR="00EC28A6" w:rsidRPr="00C67F0B"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(1) is separate and independent from the normal electrical power source;</w:t>
      </w:r>
    </w:p>
    <w:p w:rsidR="00EC28A6" w:rsidRPr="00C67F0B" w:rsidRDefault="00EC28A6" w:rsidP="00A34F5F">
      <w:pPr>
        <w:spacing w:after="0" w:line="240" w:lineRule="auto"/>
        <w:ind w:left="216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(2) is capable of providing light for not less than one and a half hours;</w:t>
      </w:r>
    </w:p>
    <w:p w:rsidR="00EC28A6" w:rsidRPr="00C67F0B" w:rsidRDefault="00EC28A6" w:rsidP="00A34F5F">
      <w:pPr>
        <w:spacing w:after="0" w:line="240" w:lineRule="auto"/>
        <w:ind w:left="2160"/>
        <w:jc w:val="both"/>
        <w:rPr>
          <w:rFonts w:eastAsia="Times New Roman" w:cs="Times New Roman"/>
          <w:szCs w:val="24"/>
        </w:rPr>
      </w:pPr>
    </w:p>
    <w:p w:rsidR="00EC28A6" w:rsidRPr="00C67F0B"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(3) is capable of providing a sufficient amount of light to allow for the safe evacuation of the building; and</w:t>
      </w:r>
    </w:p>
    <w:p w:rsidR="00EC28A6" w:rsidRPr="00C67F0B" w:rsidRDefault="00EC28A6" w:rsidP="00A34F5F">
      <w:pPr>
        <w:spacing w:after="0" w:line="240" w:lineRule="auto"/>
        <w:ind w:left="2160"/>
        <w:jc w:val="both"/>
        <w:rPr>
          <w:rFonts w:eastAsia="Times New Roman" w:cs="Times New Roman"/>
          <w:szCs w:val="24"/>
        </w:rPr>
      </w:pPr>
    </w:p>
    <w:p w:rsidR="00EC28A6" w:rsidRDefault="00EC28A6" w:rsidP="00A34F5F">
      <w:pPr>
        <w:spacing w:after="0" w:line="240" w:lineRule="auto"/>
        <w:ind w:left="2160"/>
        <w:jc w:val="both"/>
        <w:rPr>
          <w:rFonts w:eastAsia="Times New Roman" w:cs="Times New Roman"/>
          <w:szCs w:val="24"/>
        </w:rPr>
      </w:pPr>
      <w:r w:rsidRPr="00C67F0B">
        <w:rPr>
          <w:rFonts w:eastAsia="Times New Roman" w:cs="Times New Roman"/>
          <w:szCs w:val="24"/>
        </w:rPr>
        <w:t>(4) is maintained and tested not less than four times each year.</w:t>
      </w:r>
    </w:p>
    <w:p w:rsidR="00EC28A6"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jc w:val="both"/>
        <w:rPr>
          <w:rFonts w:eastAsia="Times New Roman" w:cs="Times New Roman"/>
          <w:szCs w:val="24"/>
        </w:rPr>
      </w:pPr>
      <w:r w:rsidRPr="00C67F0B">
        <w:rPr>
          <w:rFonts w:eastAsia="Times New Roman" w:cs="Times New Roman"/>
          <w:szCs w:val="24"/>
        </w:rPr>
        <w:t>SECTION 2. Amends Section 773.112, Health and Safety Code, by adding Subsection (d), as follows:</w:t>
      </w:r>
    </w:p>
    <w:p w:rsidR="00EC28A6" w:rsidRPr="00C67F0B" w:rsidRDefault="00EC28A6" w:rsidP="00A34F5F">
      <w:pPr>
        <w:spacing w:after="0" w:line="240" w:lineRule="auto"/>
        <w:jc w:val="both"/>
        <w:rPr>
          <w:rFonts w:eastAsia="Times New Roman" w:cs="Times New Roman"/>
          <w:szCs w:val="24"/>
        </w:rPr>
      </w:pPr>
    </w:p>
    <w:p w:rsidR="00EC28A6" w:rsidRDefault="00EC28A6" w:rsidP="00A34F5F">
      <w:pPr>
        <w:spacing w:after="0" w:line="240" w:lineRule="auto"/>
        <w:ind w:left="720"/>
        <w:jc w:val="both"/>
        <w:rPr>
          <w:rFonts w:eastAsia="Times New Roman" w:cs="Times New Roman"/>
          <w:szCs w:val="24"/>
        </w:rPr>
      </w:pPr>
      <w:r w:rsidRPr="00C67F0B">
        <w:rPr>
          <w:rFonts w:eastAsia="Times New Roman" w:cs="Times New Roman"/>
          <w:szCs w:val="24"/>
        </w:rPr>
        <w:t>(d) Requires the e</w:t>
      </w:r>
      <w:r>
        <w:rPr>
          <w:rFonts w:eastAsia="Times New Roman" w:cs="Times New Roman"/>
          <w:szCs w:val="24"/>
        </w:rPr>
        <w:t>xecutive commissioner of the Health and Human Services Commission (executive commissioner) by rule, c</w:t>
      </w:r>
      <w:r w:rsidRPr="00C67F0B">
        <w:rPr>
          <w:rFonts w:eastAsia="Times New Roman" w:cs="Times New Roman"/>
          <w:szCs w:val="24"/>
        </w:rPr>
        <w:t>onsistent with rules adopted under Section 773.112</w:t>
      </w:r>
      <w:r>
        <w:rPr>
          <w:rFonts w:eastAsia="Times New Roman" w:cs="Times New Roman"/>
          <w:szCs w:val="24"/>
        </w:rPr>
        <w:t xml:space="preserve"> (Rules)</w:t>
      </w:r>
      <w:r w:rsidRPr="00C67F0B">
        <w:rPr>
          <w:rFonts w:eastAsia="Times New Roman" w:cs="Times New Roman"/>
          <w:szCs w:val="24"/>
        </w:rPr>
        <w:t>, to authorize, during a declared disaster, the emergency transfer of a dialysis patient from the patient's location directly to an outpatient end stage renal disease facility. Defines "disaster" and "end stage renal disease facility."</w:t>
      </w:r>
    </w:p>
    <w:p w:rsidR="00EC28A6"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jc w:val="both"/>
        <w:rPr>
          <w:rFonts w:eastAsia="Times New Roman" w:cs="Times New Roman"/>
          <w:szCs w:val="24"/>
        </w:rPr>
      </w:pPr>
      <w:r w:rsidRPr="00C67F0B">
        <w:rPr>
          <w:rFonts w:eastAsia="Times New Roman" w:cs="Times New Roman"/>
          <w:szCs w:val="24"/>
        </w:rPr>
        <w:t>SECTION 3. Amends Sections 38.072(a) and (b), Utilities Code, as follows:</w:t>
      </w:r>
    </w:p>
    <w:p w:rsidR="00EC28A6" w:rsidRPr="00C67F0B"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720"/>
        <w:jc w:val="both"/>
        <w:rPr>
          <w:rFonts w:eastAsia="Times New Roman" w:cs="Times New Roman"/>
          <w:szCs w:val="24"/>
        </w:rPr>
      </w:pPr>
      <w:r w:rsidRPr="00C67F0B">
        <w:rPr>
          <w:rFonts w:eastAsia="Times New Roman" w:cs="Times New Roman"/>
          <w:szCs w:val="24"/>
        </w:rPr>
        <w:t>(a) Defines "end stage renal disease facility" for Section 38.072 (Priorities For Power Restoration</w:t>
      </w:r>
      <w:r>
        <w:rPr>
          <w:rFonts w:eastAsia="Times New Roman" w:cs="Times New Roman"/>
          <w:szCs w:val="24"/>
        </w:rPr>
        <w:t xml:space="preserve"> to Certain Medical Facilities</w:t>
      </w:r>
      <w:r w:rsidRPr="00C67F0B">
        <w:rPr>
          <w:rFonts w:eastAsia="Times New Roman" w:cs="Times New Roman"/>
          <w:szCs w:val="24"/>
        </w:rPr>
        <w:t>). Makes nonsubstantive changes.</w:t>
      </w:r>
    </w:p>
    <w:p w:rsidR="00EC28A6" w:rsidRPr="00C67F0B" w:rsidRDefault="00EC28A6" w:rsidP="00A34F5F">
      <w:pPr>
        <w:spacing w:after="0" w:line="240" w:lineRule="auto"/>
        <w:ind w:left="720"/>
        <w:jc w:val="both"/>
        <w:rPr>
          <w:rFonts w:eastAsia="Times New Roman" w:cs="Times New Roman"/>
          <w:szCs w:val="24"/>
        </w:rPr>
      </w:pPr>
    </w:p>
    <w:p w:rsidR="00EC28A6" w:rsidRDefault="00EC28A6" w:rsidP="00A34F5F">
      <w:pPr>
        <w:spacing w:after="0" w:line="240" w:lineRule="auto"/>
        <w:ind w:left="720"/>
        <w:jc w:val="both"/>
        <w:rPr>
          <w:rFonts w:eastAsia="Times New Roman" w:cs="Times New Roman"/>
          <w:szCs w:val="24"/>
        </w:rPr>
      </w:pPr>
      <w:r w:rsidRPr="00C67F0B">
        <w:rPr>
          <w:rFonts w:eastAsia="Times New Roman" w:cs="Times New Roman"/>
          <w:szCs w:val="24"/>
        </w:rPr>
        <w:t>(b) Requires the Public Utility Commission of Texas (PUC) by rule to require an electric utility to give to certain healthcare facilities, including an end stage renal disease facility, the same priority that it gives to a hospital in the utility's emergency operations plan for restoring power after an extended power outage. Makes nonsubstantive changes.</w:t>
      </w:r>
    </w:p>
    <w:p w:rsidR="00EC28A6"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jc w:val="both"/>
        <w:rPr>
          <w:rFonts w:eastAsia="Times New Roman" w:cs="Times New Roman"/>
          <w:szCs w:val="24"/>
        </w:rPr>
      </w:pPr>
      <w:r w:rsidRPr="00C67F0B">
        <w:rPr>
          <w:rFonts w:eastAsia="Times New Roman" w:cs="Times New Roman"/>
          <w:szCs w:val="24"/>
        </w:rPr>
        <w:t>SECTION 4. Amends Section 13.1395, Water Co</w:t>
      </w:r>
      <w:r>
        <w:rPr>
          <w:rFonts w:eastAsia="Times New Roman" w:cs="Times New Roman"/>
          <w:szCs w:val="24"/>
        </w:rPr>
        <w:t>de, by adding Subsection (c-1),</w:t>
      </w:r>
      <w:r w:rsidRPr="00C67F0B">
        <w:rPr>
          <w:rFonts w:eastAsia="Times New Roman" w:cs="Times New Roman"/>
          <w:szCs w:val="24"/>
        </w:rPr>
        <w:t xml:space="preserve"> as follows:</w:t>
      </w:r>
    </w:p>
    <w:p w:rsidR="00EC28A6" w:rsidRPr="00C67F0B" w:rsidRDefault="00EC28A6" w:rsidP="00A34F5F">
      <w:pPr>
        <w:spacing w:after="0" w:line="240" w:lineRule="auto"/>
        <w:jc w:val="both"/>
        <w:rPr>
          <w:rFonts w:eastAsia="Times New Roman" w:cs="Times New Roman"/>
          <w:szCs w:val="24"/>
        </w:rPr>
      </w:pPr>
    </w:p>
    <w:p w:rsidR="00EC28A6" w:rsidRDefault="00EC28A6" w:rsidP="00A34F5F">
      <w:pPr>
        <w:spacing w:after="0" w:line="240" w:lineRule="auto"/>
        <w:ind w:left="720"/>
        <w:jc w:val="both"/>
        <w:rPr>
          <w:rFonts w:eastAsia="Times New Roman" w:cs="Times New Roman"/>
          <w:szCs w:val="24"/>
        </w:rPr>
      </w:pPr>
      <w:r w:rsidRPr="00C67F0B">
        <w:rPr>
          <w:rFonts w:eastAsia="Times New Roman" w:cs="Times New Roman"/>
          <w:szCs w:val="24"/>
        </w:rPr>
        <w:t>(c-1) Authorizes an emergency preparedness plan submitted under Subsection (b)</w:t>
      </w:r>
      <w:r>
        <w:rPr>
          <w:rFonts w:eastAsia="Times New Roman" w:cs="Times New Roman"/>
          <w:szCs w:val="24"/>
        </w:rPr>
        <w:t xml:space="preserve"> </w:t>
      </w:r>
      <w:r w:rsidRPr="00C67F0B">
        <w:rPr>
          <w:rFonts w:eastAsia="Times New Roman" w:cs="Times New Roman"/>
          <w:szCs w:val="24"/>
        </w:rPr>
        <w:t xml:space="preserve">(relating to requiring </w:t>
      </w:r>
      <w:r>
        <w:rPr>
          <w:rFonts w:eastAsia="Times New Roman" w:cs="Times New Roman"/>
          <w:szCs w:val="24"/>
        </w:rPr>
        <w:t>a utility</w:t>
      </w:r>
      <w:r w:rsidRPr="00C67F0B">
        <w:rPr>
          <w:rFonts w:eastAsia="Times New Roman" w:cs="Times New Roman"/>
          <w:szCs w:val="24"/>
        </w:rPr>
        <w:t xml:space="preserve"> to adopt an emergency preparedness plan to ensure the emergency operation of its water system during a natural disaster) to provide for the prioritization of water restoration to an end stage renal disease facility, as that term is defined by Section 251.001</w:t>
      </w:r>
      <w:r>
        <w:rPr>
          <w:rFonts w:eastAsia="Times New Roman" w:cs="Times New Roman"/>
          <w:szCs w:val="24"/>
        </w:rPr>
        <w:t xml:space="preserve"> (Definitions)</w:t>
      </w:r>
      <w:r w:rsidRPr="00C67F0B">
        <w:rPr>
          <w:rFonts w:eastAsia="Times New Roman" w:cs="Times New Roman"/>
          <w:szCs w:val="24"/>
        </w:rPr>
        <w:t>, Health and Safety Code, in the same manner as an affected utility restores service to a hospital following an extended power outage. Requires the affected utility to restore the service in accordance with the facility's needs, the affected community's needs, and the characteristics of the geographic area in which water is to be restored.</w:t>
      </w:r>
    </w:p>
    <w:p w:rsidR="00EC28A6"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jc w:val="both"/>
        <w:rPr>
          <w:rFonts w:eastAsia="Times New Roman" w:cs="Times New Roman"/>
          <w:szCs w:val="24"/>
        </w:rPr>
      </w:pPr>
      <w:r w:rsidRPr="00C67F0B">
        <w:rPr>
          <w:rFonts w:eastAsia="Times New Roman" w:cs="Times New Roman"/>
          <w:szCs w:val="24"/>
        </w:rPr>
        <w:t>SECTION 5. Provides that, as soon as practicable after the effective date of this Act:</w:t>
      </w:r>
    </w:p>
    <w:p w:rsidR="00EC28A6" w:rsidRPr="00C67F0B" w:rsidRDefault="00EC28A6" w:rsidP="00A34F5F">
      <w:pPr>
        <w:spacing w:after="0" w:line="240" w:lineRule="auto"/>
        <w:jc w:val="both"/>
        <w:rPr>
          <w:rFonts w:eastAsia="Times New Roman" w:cs="Times New Roman"/>
          <w:szCs w:val="24"/>
        </w:rPr>
      </w:pPr>
    </w:p>
    <w:p w:rsidR="00EC28A6" w:rsidRPr="00C67F0B" w:rsidRDefault="00EC28A6" w:rsidP="00A34F5F">
      <w:pPr>
        <w:spacing w:after="0" w:line="240" w:lineRule="auto"/>
        <w:ind w:left="720"/>
        <w:jc w:val="both"/>
        <w:rPr>
          <w:rFonts w:eastAsia="Times New Roman" w:cs="Times New Roman"/>
          <w:szCs w:val="24"/>
        </w:rPr>
      </w:pPr>
      <w:r w:rsidRPr="00C67F0B">
        <w:rPr>
          <w:rFonts w:eastAsia="Times New Roman" w:cs="Times New Roman"/>
          <w:szCs w:val="24"/>
        </w:rPr>
        <w:t>(1) each end stage renal disease facility is required to develop and implement the plans required under Sections 251.016 and 251.017, Health and Safety Code, as added by this Act;</w:t>
      </w:r>
    </w:p>
    <w:p w:rsidR="00EC28A6" w:rsidRPr="00C67F0B"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ind w:left="720"/>
        <w:jc w:val="both"/>
        <w:rPr>
          <w:rFonts w:eastAsia="Times New Roman" w:cs="Times New Roman"/>
          <w:szCs w:val="24"/>
        </w:rPr>
      </w:pPr>
      <w:r>
        <w:rPr>
          <w:rFonts w:eastAsia="Times New Roman" w:cs="Times New Roman"/>
          <w:szCs w:val="24"/>
        </w:rPr>
        <w:t>(2)</w:t>
      </w:r>
      <w:r w:rsidRPr="00C67F0B">
        <w:rPr>
          <w:rFonts w:eastAsia="Times New Roman" w:cs="Times New Roman"/>
          <w:szCs w:val="24"/>
        </w:rPr>
        <w:t xml:space="preserve"> the executive commissioner is required to adopt the rules required by Section 773.112(d), Health and Safety Code, as added by this Act; and</w:t>
      </w:r>
    </w:p>
    <w:p w:rsidR="00EC28A6" w:rsidRPr="00C67F0B" w:rsidRDefault="00EC28A6" w:rsidP="00A34F5F">
      <w:pPr>
        <w:spacing w:after="0" w:line="240" w:lineRule="auto"/>
        <w:ind w:left="720"/>
        <w:jc w:val="both"/>
        <w:rPr>
          <w:rFonts w:eastAsia="Times New Roman" w:cs="Times New Roman"/>
          <w:szCs w:val="24"/>
        </w:rPr>
      </w:pPr>
    </w:p>
    <w:p w:rsidR="00EC28A6" w:rsidRPr="00C67F0B" w:rsidRDefault="00EC28A6" w:rsidP="00A34F5F">
      <w:pPr>
        <w:spacing w:after="0" w:line="240" w:lineRule="auto"/>
        <w:ind w:left="720"/>
        <w:jc w:val="both"/>
        <w:rPr>
          <w:rFonts w:eastAsia="Times New Roman" w:cs="Times New Roman"/>
          <w:szCs w:val="24"/>
        </w:rPr>
      </w:pPr>
      <w:r w:rsidRPr="00C67F0B">
        <w:rPr>
          <w:rFonts w:eastAsia="Times New Roman" w:cs="Times New Roman"/>
          <w:szCs w:val="24"/>
        </w:rPr>
        <w:t>(3) the PUC is required to adopt the rules required by Section 38.072, Utilities Code, as amended by this Act.</w:t>
      </w:r>
    </w:p>
    <w:p w:rsidR="00EC28A6" w:rsidRPr="00C67F0B" w:rsidRDefault="00EC28A6" w:rsidP="00A34F5F">
      <w:pPr>
        <w:spacing w:after="0" w:line="240" w:lineRule="auto"/>
        <w:jc w:val="both"/>
        <w:rPr>
          <w:rFonts w:eastAsia="Times New Roman" w:cs="Times New Roman"/>
          <w:szCs w:val="24"/>
        </w:rPr>
      </w:pPr>
    </w:p>
    <w:p w:rsidR="00EC28A6" w:rsidRPr="00C8671F" w:rsidRDefault="00EC28A6" w:rsidP="00A34F5F">
      <w:pPr>
        <w:spacing w:after="0" w:line="240" w:lineRule="auto"/>
        <w:jc w:val="both"/>
        <w:rPr>
          <w:rFonts w:eastAsia="Times New Roman" w:cs="Times New Roman"/>
          <w:szCs w:val="24"/>
        </w:rPr>
      </w:pPr>
      <w:r w:rsidRPr="00C67F0B">
        <w:rPr>
          <w:rFonts w:eastAsia="Times New Roman" w:cs="Times New Roman"/>
          <w:szCs w:val="24"/>
        </w:rPr>
        <w:t>SECTION 6. Effective date: September 1, 2021.</w:t>
      </w:r>
    </w:p>
    <w:sectPr w:rsidR="00EC28A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8B1" w:rsidRDefault="00F608B1" w:rsidP="000F1DF9">
      <w:pPr>
        <w:spacing w:after="0" w:line="240" w:lineRule="auto"/>
      </w:pPr>
      <w:r>
        <w:separator/>
      </w:r>
    </w:p>
  </w:endnote>
  <w:endnote w:type="continuationSeparator" w:id="0">
    <w:p w:rsidR="00F608B1" w:rsidRDefault="00F608B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608B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C28A6">
                <w:rPr>
                  <w:sz w:val="20"/>
                  <w:szCs w:val="20"/>
                </w:rPr>
                <w:t>CAP</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C28A6">
                <w:rPr>
                  <w:sz w:val="20"/>
                  <w:szCs w:val="20"/>
                </w:rPr>
                <w:t>C.S.S.B. 1876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C28A6">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608B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8B1" w:rsidRDefault="00F608B1" w:rsidP="000F1DF9">
      <w:pPr>
        <w:spacing w:after="0" w:line="240" w:lineRule="auto"/>
      </w:pPr>
      <w:r>
        <w:separator/>
      </w:r>
    </w:p>
  </w:footnote>
  <w:footnote w:type="continuationSeparator" w:id="0">
    <w:p w:rsidR="00F608B1" w:rsidRDefault="00F608B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C28A6"/>
    <w:rsid w:val="00EE2AD8"/>
    <w:rsid w:val="00F30915"/>
    <w:rsid w:val="00F608B1"/>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B598D"/>
  <w15:docId w15:val="{3F09395B-228F-43EE-8A5D-9CF18C43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C28A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50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D7D2612FD0F4C52B72CA2580AA9F0F8"/>
        <w:category>
          <w:name w:val="General"/>
          <w:gallery w:val="placeholder"/>
        </w:category>
        <w:types>
          <w:type w:val="bbPlcHdr"/>
        </w:types>
        <w:behaviors>
          <w:behavior w:val="content"/>
        </w:behaviors>
        <w:guid w:val="{6DBBB47E-A359-4BAE-B6FE-CC92CC37834F}"/>
      </w:docPartPr>
      <w:docPartBody>
        <w:p w:rsidR="00000000" w:rsidRDefault="00041E1C"/>
      </w:docPartBody>
    </w:docPart>
    <w:docPart>
      <w:docPartPr>
        <w:name w:val="14236BD11AD14CAA8A25006B4973D5C5"/>
        <w:category>
          <w:name w:val="General"/>
          <w:gallery w:val="placeholder"/>
        </w:category>
        <w:types>
          <w:type w:val="bbPlcHdr"/>
        </w:types>
        <w:behaviors>
          <w:behavior w:val="content"/>
        </w:behaviors>
        <w:guid w:val="{880B84B2-7FF2-4D71-823A-D0136DACFE6E}"/>
      </w:docPartPr>
      <w:docPartBody>
        <w:p w:rsidR="00000000" w:rsidRDefault="00041E1C"/>
      </w:docPartBody>
    </w:docPart>
    <w:docPart>
      <w:docPartPr>
        <w:name w:val="7A843A464AC44EDB91064C74401520CC"/>
        <w:category>
          <w:name w:val="General"/>
          <w:gallery w:val="placeholder"/>
        </w:category>
        <w:types>
          <w:type w:val="bbPlcHdr"/>
        </w:types>
        <w:behaviors>
          <w:behavior w:val="content"/>
        </w:behaviors>
        <w:guid w:val="{EC5C1C25-1DA6-4AD5-8503-23E8F6DECECC}"/>
      </w:docPartPr>
      <w:docPartBody>
        <w:p w:rsidR="00000000" w:rsidRDefault="00041E1C"/>
      </w:docPartBody>
    </w:docPart>
    <w:docPart>
      <w:docPartPr>
        <w:name w:val="E98B706CFD504F0D8AAEC8FB7D32BDC0"/>
        <w:category>
          <w:name w:val="General"/>
          <w:gallery w:val="placeholder"/>
        </w:category>
        <w:types>
          <w:type w:val="bbPlcHdr"/>
        </w:types>
        <w:behaviors>
          <w:behavior w:val="content"/>
        </w:behaviors>
        <w:guid w:val="{658436BE-2B31-4242-9FC2-8458B95C7A9C}"/>
      </w:docPartPr>
      <w:docPartBody>
        <w:p w:rsidR="00000000" w:rsidRDefault="00041E1C"/>
      </w:docPartBody>
    </w:docPart>
    <w:docPart>
      <w:docPartPr>
        <w:name w:val="4002C65C74F94B7FB47A0236BF7D9BA5"/>
        <w:category>
          <w:name w:val="General"/>
          <w:gallery w:val="placeholder"/>
        </w:category>
        <w:types>
          <w:type w:val="bbPlcHdr"/>
        </w:types>
        <w:behaviors>
          <w:behavior w:val="content"/>
        </w:behaviors>
        <w:guid w:val="{0FEAF141-9257-44F0-BBE5-EADB71F146FF}"/>
      </w:docPartPr>
      <w:docPartBody>
        <w:p w:rsidR="00000000" w:rsidRDefault="00041E1C"/>
      </w:docPartBody>
    </w:docPart>
    <w:docPart>
      <w:docPartPr>
        <w:name w:val="213AAD3463A54A2196D4F25A3C4E32D7"/>
        <w:category>
          <w:name w:val="General"/>
          <w:gallery w:val="placeholder"/>
        </w:category>
        <w:types>
          <w:type w:val="bbPlcHdr"/>
        </w:types>
        <w:behaviors>
          <w:behavior w:val="content"/>
        </w:behaviors>
        <w:guid w:val="{6D278EAF-8835-4522-A07B-84E4DFA7E72B}"/>
      </w:docPartPr>
      <w:docPartBody>
        <w:p w:rsidR="00000000" w:rsidRDefault="00041E1C"/>
      </w:docPartBody>
    </w:docPart>
    <w:docPart>
      <w:docPartPr>
        <w:name w:val="B3128AC1021E4F49A0A2CA35F18773FB"/>
        <w:category>
          <w:name w:val="General"/>
          <w:gallery w:val="placeholder"/>
        </w:category>
        <w:types>
          <w:type w:val="bbPlcHdr"/>
        </w:types>
        <w:behaviors>
          <w:behavior w:val="content"/>
        </w:behaviors>
        <w:guid w:val="{EFDA0E08-2799-4521-9473-83A88937BFFB}"/>
      </w:docPartPr>
      <w:docPartBody>
        <w:p w:rsidR="00000000" w:rsidRDefault="00041E1C"/>
      </w:docPartBody>
    </w:docPart>
    <w:docPart>
      <w:docPartPr>
        <w:name w:val="783C933432684C12901881549FA0BD28"/>
        <w:category>
          <w:name w:val="General"/>
          <w:gallery w:val="placeholder"/>
        </w:category>
        <w:types>
          <w:type w:val="bbPlcHdr"/>
        </w:types>
        <w:behaviors>
          <w:behavior w:val="content"/>
        </w:behaviors>
        <w:guid w:val="{630601E2-DEFF-4860-AAC0-3F6932A1BE7C}"/>
      </w:docPartPr>
      <w:docPartBody>
        <w:p w:rsidR="00000000" w:rsidRDefault="00041E1C"/>
      </w:docPartBody>
    </w:docPart>
    <w:docPart>
      <w:docPartPr>
        <w:name w:val="B44EE1FD5FD347B1AEFA4C9A316D1832"/>
        <w:category>
          <w:name w:val="General"/>
          <w:gallery w:val="placeholder"/>
        </w:category>
        <w:types>
          <w:type w:val="bbPlcHdr"/>
        </w:types>
        <w:behaviors>
          <w:behavior w:val="content"/>
        </w:behaviors>
        <w:guid w:val="{BFAF81CA-3E3C-4734-9A3D-4E65F8F3D26E}"/>
      </w:docPartPr>
      <w:docPartBody>
        <w:p w:rsidR="00000000" w:rsidRDefault="00041E1C"/>
      </w:docPartBody>
    </w:docPart>
    <w:docPart>
      <w:docPartPr>
        <w:name w:val="D2C086F653074929B16410E7DD73E7E8"/>
        <w:category>
          <w:name w:val="General"/>
          <w:gallery w:val="placeholder"/>
        </w:category>
        <w:types>
          <w:type w:val="bbPlcHdr"/>
        </w:types>
        <w:behaviors>
          <w:behavior w:val="content"/>
        </w:behaviors>
        <w:guid w:val="{6C01F876-559C-456B-A3D9-73168F84A797}"/>
      </w:docPartPr>
      <w:docPartBody>
        <w:p w:rsidR="00000000" w:rsidRDefault="006F6E0A" w:rsidP="006F6E0A">
          <w:pPr>
            <w:pStyle w:val="D2C086F653074929B16410E7DD73E7E8"/>
          </w:pPr>
          <w:r w:rsidRPr="00A30DD1">
            <w:rPr>
              <w:rStyle w:val="PlaceholderText"/>
            </w:rPr>
            <w:t>Click here to enter a date.</w:t>
          </w:r>
        </w:p>
      </w:docPartBody>
    </w:docPart>
    <w:docPart>
      <w:docPartPr>
        <w:name w:val="85FC6F5D190C46B0A0B7526424773846"/>
        <w:category>
          <w:name w:val="General"/>
          <w:gallery w:val="placeholder"/>
        </w:category>
        <w:types>
          <w:type w:val="bbPlcHdr"/>
        </w:types>
        <w:behaviors>
          <w:behavior w:val="content"/>
        </w:behaviors>
        <w:guid w:val="{E8728DD2-F6BE-4C28-BBF7-8AE55CDE645E}"/>
      </w:docPartPr>
      <w:docPartBody>
        <w:p w:rsidR="00000000" w:rsidRDefault="00041E1C"/>
      </w:docPartBody>
    </w:docPart>
    <w:docPart>
      <w:docPartPr>
        <w:name w:val="B5B54219924F42A4BB4BB3494724CEF8"/>
        <w:category>
          <w:name w:val="General"/>
          <w:gallery w:val="placeholder"/>
        </w:category>
        <w:types>
          <w:type w:val="bbPlcHdr"/>
        </w:types>
        <w:behaviors>
          <w:behavior w:val="content"/>
        </w:behaviors>
        <w:guid w:val="{42D928A7-2A58-4D91-BA39-0C91A1933CCA}"/>
      </w:docPartPr>
      <w:docPartBody>
        <w:p w:rsidR="00000000" w:rsidRDefault="00041E1C"/>
      </w:docPartBody>
    </w:docPart>
    <w:docPart>
      <w:docPartPr>
        <w:name w:val="41A28AE7F91148BC8F08010E0E9A183A"/>
        <w:category>
          <w:name w:val="General"/>
          <w:gallery w:val="placeholder"/>
        </w:category>
        <w:types>
          <w:type w:val="bbPlcHdr"/>
        </w:types>
        <w:behaviors>
          <w:behavior w:val="content"/>
        </w:behaviors>
        <w:guid w:val="{A61B1B0C-CB70-404D-8720-EC4D4E43934D}"/>
      </w:docPartPr>
      <w:docPartBody>
        <w:p w:rsidR="00000000" w:rsidRDefault="006F6E0A" w:rsidP="006F6E0A">
          <w:pPr>
            <w:pStyle w:val="41A28AE7F91148BC8F08010E0E9A183A"/>
          </w:pPr>
          <w:r>
            <w:rPr>
              <w:rFonts w:eastAsia="Times New Roman" w:cs="Times New Roman"/>
              <w:bCs/>
              <w:szCs w:val="24"/>
            </w:rPr>
            <w:t xml:space="preserve"> </w:t>
          </w:r>
        </w:p>
      </w:docPartBody>
    </w:docPart>
    <w:docPart>
      <w:docPartPr>
        <w:name w:val="C73A7E365F104213B69B732406B04650"/>
        <w:category>
          <w:name w:val="General"/>
          <w:gallery w:val="placeholder"/>
        </w:category>
        <w:types>
          <w:type w:val="bbPlcHdr"/>
        </w:types>
        <w:behaviors>
          <w:behavior w:val="content"/>
        </w:behaviors>
        <w:guid w:val="{D489CFC2-98CA-4712-ADBF-2EBBB82AD968}"/>
      </w:docPartPr>
      <w:docPartBody>
        <w:p w:rsidR="00000000" w:rsidRDefault="00041E1C"/>
      </w:docPartBody>
    </w:docPart>
    <w:docPart>
      <w:docPartPr>
        <w:name w:val="1208AA7AD32243A080BF0958098C579A"/>
        <w:category>
          <w:name w:val="General"/>
          <w:gallery w:val="placeholder"/>
        </w:category>
        <w:types>
          <w:type w:val="bbPlcHdr"/>
        </w:types>
        <w:behaviors>
          <w:behavior w:val="content"/>
        </w:behaviors>
        <w:guid w:val="{BDFAA2D0-FE98-4D58-9F75-CB0A5908490F}"/>
      </w:docPartPr>
      <w:docPartBody>
        <w:p w:rsidR="00000000" w:rsidRDefault="00041E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1E1C"/>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6E0A"/>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E0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D2C086F653074929B16410E7DD73E7E8">
    <w:name w:val="D2C086F653074929B16410E7DD73E7E8"/>
    <w:rsid w:val="006F6E0A"/>
    <w:pPr>
      <w:spacing w:after="160" w:line="259" w:lineRule="auto"/>
    </w:pPr>
  </w:style>
  <w:style w:type="paragraph" w:customStyle="1" w:styleId="41A28AE7F91148BC8F08010E0E9A183A">
    <w:name w:val="41A28AE7F91148BC8F08010E0E9A183A"/>
    <w:rsid w:val="006F6E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C4A003E-0115-4DF1-B029-DBC98686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1871</Words>
  <Characters>10667</Characters>
  <Application>Microsoft Office Word</Application>
  <DocSecurity>0</DocSecurity>
  <Lines>88</Lines>
  <Paragraphs>25</Paragraphs>
  <ScaleCrop>false</ScaleCrop>
  <Company>Texas Legislative Council</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Tammy Edgerly</cp:lastModifiedBy>
  <cp:revision>161</cp:revision>
  <dcterms:created xsi:type="dcterms:W3CDTF">2015-05-29T14:24:00Z</dcterms:created>
  <dcterms:modified xsi:type="dcterms:W3CDTF">2021-04-29T00:23:00Z</dcterms:modified>
</cp:coreProperties>
</file>

<file path=docProps/custom.xml><?xml version="1.0" encoding="utf-8"?>
<op:Properties xmlns:vt="http://schemas.openxmlformats.org/officeDocument/2006/docPropsVTypes" xmlns:op="http://schemas.openxmlformats.org/officeDocument/2006/custom-properties"/>
</file>