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76A40" w14:paraId="6C349583" w14:textId="77777777" w:rsidTr="00345119">
        <w:tc>
          <w:tcPr>
            <w:tcW w:w="9576" w:type="dxa"/>
            <w:noWrap/>
          </w:tcPr>
          <w:p w14:paraId="34FD15A8" w14:textId="77777777" w:rsidR="008423E4" w:rsidRPr="0022177D" w:rsidRDefault="007F50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858A75F" w14:textId="77777777" w:rsidR="008423E4" w:rsidRPr="0022177D" w:rsidRDefault="008423E4" w:rsidP="008423E4">
      <w:pPr>
        <w:jc w:val="center"/>
      </w:pPr>
    </w:p>
    <w:p w14:paraId="3C19A6D4" w14:textId="77777777" w:rsidR="008423E4" w:rsidRPr="00B31F0E" w:rsidRDefault="008423E4" w:rsidP="008423E4"/>
    <w:p w14:paraId="3F21D92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6A40" w14:paraId="27636A95" w14:textId="77777777" w:rsidTr="00345119">
        <w:tc>
          <w:tcPr>
            <w:tcW w:w="9576" w:type="dxa"/>
          </w:tcPr>
          <w:p w14:paraId="1094613F" w14:textId="77777777" w:rsidR="008423E4" w:rsidRPr="00861995" w:rsidRDefault="007F50B8" w:rsidP="00345119">
            <w:pPr>
              <w:jc w:val="right"/>
            </w:pPr>
            <w:r>
              <w:t>S.B. 1888</w:t>
            </w:r>
          </w:p>
        </w:tc>
      </w:tr>
      <w:tr w:rsidR="00476A40" w14:paraId="12F58873" w14:textId="77777777" w:rsidTr="00345119">
        <w:tc>
          <w:tcPr>
            <w:tcW w:w="9576" w:type="dxa"/>
          </w:tcPr>
          <w:p w14:paraId="2BFC8E8D" w14:textId="77777777" w:rsidR="008423E4" w:rsidRPr="00861995" w:rsidRDefault="007F50B8" w:rsidP="00345119">
            <w:pPr>
              <w:jc w:val="right"/>
            </w:pPr>
            <w:r>
              <w:t xml:space="preserve">By: </w:t>
            </w:r>
            <w:r w:rsidR="00E2788A">
              <w:t>Creighton</w:t>
            </w:r>
          </w:p>
        </w:tc>
      </w:tr>
      <w:tr w:rsidR="00476A40" w14:paraId="060AB104" w14:textId="77777777" w:rsidTr="00345119">
        <w:tc>
          <w:tcPr>
            <w:tcW w:w="9576" w:type="dxa"/>
          </w:tcPr>
          <w:p w14:paraId="7080535B" w14:textId="77777777" w:rsidR="008423E4" w:rsidRPr="00861995" w:rsidRDefault="007F50B8" w:rsidP="00345119">
            <w:pPr>
              <w:jc w:val="right"/>
            </w:pPr>
            <w:r>
              <w:t>Higher Education</w:t>
            </w:r>
          </w:p>
        </w:tc>
      </w:tr>
      <w:tr w:rsidR="00476A40" w14:paraId="17F22D12" w14:textId="77777777" w:rsidTr="00345119">
        <w:tc>
          <w:tcPr>
            <w:tcW w:w="9576" w:type="dxa"/>
          </w:tcPr>
          <w:p w14:paraId="633589BE" w14:textId="77777777" w:rsidR="008423E4" w:rsidRDefault="007F50B8" w:rsidP="00345119">
            <w:pPr>
              <w:jc w:val="right"/>
            </w:pPr>
            <w:r>
              <w:t>Committee Report (Unamended)</w:t>
            </w:r>
          </w:p>
        </w:tc>
      </w:tr>
    </w:tbl>
    <w:p w14:paraId="40B7C65C" w14:textId="77777777" w:rsidR="008423E4" w:rsidRDefault="008423E4" w:rsidP="008423E4">
      <w:pPr>
        <w:tabs>
          <w:tab w:val="right" w:pos="9360"/>
        </w:tabs>
      </w:pPr>
    </w:p>
    <w:p w14:paraId="65418173" w14:textId="77777777" w:rsidR="008423E4" w:rsidRDefault="008423E4" w:rsidP="008423E4"/>
    <w:p w14:paraId="1D10044D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76A40" w14:paraId="3EF54733" w14:textId="77777777" w:rsidTr="00345119">
        <w:tc>
          <w:tcPr>
            <w:tcW w:w="9576" w:type="dxa"/>
          </w:tcPr>
          <w:p w14:paraId="0A81CA8E" w14:textId="77777777" w:rsidR="008423E4" w:rsidRPr="00A8133F" w:rsidRDefault="007F50B8" w:rsidP="004D02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444F20" w14:textId="77777777" w:rsidR="008423E4" w:rsidRDefault="008423E4" w:rsidP="004D02B2"/>
          <w:p w14:paraId="479C588A" w14:textId="62C8081A" w:rsidR="008423E4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N</w:t>
            </w:r>
            <w:r w:rsidR="00144785">
              <w:t>early 7,000</w:t>
            </w:r>
            <w:r w:rsidR="005349D0">
              <w:t xml:space="preserve"> students who are eligible for automatic admission to Texas public </w:t>
            </w:r>
            <w:r w:rsidR="00144785">
              <w:t xml:space="preserve">institutions of higher education </w:t>
            </w:r>
            <w:r w:rsidR="005349D0">
              <w:t>either attend an out-of-state university or do not enroll at an institution of higher education.</w:t>
            </w:r>
            <w:r>
              <w:t xml:space="preserve"> It has been suggested that </w:t>
            </w:r>
            <w:r w:rsidRPr="00D028EB">
              <w:t xml:space="preserve">Texas' economy and workforce </w:t>
            </w:r>
            <w:r>
              <w:t>may</w:t>
            </w:r>
            <w:r w:rsidRPr="00D028EB">
              <w:t xml:space="preserve"> benefit </w:t>
            </w:r>
            <w:r>
              <w:t>from encouraging the</w:t>
            </w:r>
            <w:r w:rsidRPr="00D028EB">
              <w:t xml:space="preserve"> state's highest performing students </w:t>
            </w:r>
            <w:r w:rsidR="00133E47">
              <w:t xml:space="preserve">to </w:t>
            </w:r>
            <w:r w:rsidRPr="00D028EB">
              <w:t xml:space="preserve">remain in Texas for </w:t>
            </w:r>
            <w:r w:rsidR="00133E47">
              <w:t>postsecondary</w:t>
            </w:r>
            <w:r w:rsidRPr="00D028EB">
              <w:t xml:space="preserve"> education.</w:t>
            </w:r>
            <w:r w:rsidR="005349D0">
              <w:t xml:space="preserve"> S.B. 1888 </w:t>
            </w:r>
            <w:r>
              <w:t xml:space="preserve">seeks to address this issue by </w:t>
            </w:r>
            <w:r w:rsidR="005349D0">
              <w:t>establish</w:t>
            </w:r>
            <w:r>
              <w:t>ing</w:t>
            </w:r>
            <w:r w:rsidR="005349D0">
              <w:t xml:space="preserve"> the Texas First Early High School Completion Program</w:t>
            </w:r>
            <w:r w:rsidR="007B1088">
              <w:t xml:space="preserve"> and the Texas First Scholarship Program</w:t>
            </w:r>
            <w:r w:rsidR="005349D0">
              <w:t xml:space="preserve"> to allow Texas resident students who</w:t>
            </w:r>
            <w:r w:rsidR="007B1088">
              <w:t xml:space="preserve"> attend a public high school and</w:t>
            </w:r>
            <w:r w:rsidR="005349D0">
              <w:t xml:space="preserve"> demonstrate early readiness for college to graduate</w:t>
            </w:r>
            <w:r w:rsidR="007B1088">
              <w:t xml:space="preserve"> </w:t>
            </w:r>
            <w:r w:rsidR="005349D0">
              <w:t>early and receive a scholarship at an eligible Texas institution during the first full academic year following the student's early high school graduation.</w:t>
            </w:r>
          </w:p>
          <w:p w14:paraId="53FD7EC6" w14:textId="77777777" w:rsidR="008423E4" w:rsidRPr="00E26B13" w:rsidRDefault="008423E4" w:rsidP="004D02B2">
            <w:pPr>
              <w:rPr>
                <w:b/>
              </w:rPr>
            </w:pPr>
          </w:p>
        </w:tc>
      </w:tr>
      <w:tr w:rsidR="00476A40" w14:paraId="0EA2B4F7" w14:textId="77777777" w:rsidTr="00345119">
        <w:tc>
          <w:tcPr>
            <w:tcW w:w="9576" w:type="dxa"/>
          </w:tcPr>
          <w:p w14:paraId="62B93E20" w14:textId="77777777" w:rsidR="0017725B" w:rsidRDefault="007F50B8" w:rsidP="004D02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914037" w14:textId="77777777" w:rsidR="0017725B" w:rsidRDefault="0017725B" w:rsidP="004D02B2">
            <w:pPr>
              <w:rPr>
                <w:b/>
                <w:u w:val="single"/>
              </w:rPr>
            </w:pPr>
          </w:p>
          <w:p w14:paraId="1A598215" w14:textId="77777777" w:rsidR="005349D0" w:rsidRPr="005349D0" w:rsidRDefault="007F50B8" w:rsidP="004D02B2">
            <w:pPr>
              <w:jc w:val="both"/>
            </w:pPr>
            <w:r>
              <w:t>It is the committee's opinion that this bill does not expressly c</w:t>
            </w:r>
            <w:r>
              <w:t>reate a criminal offense, increase the punishment for an existing criminal offense or category of offenses, or change the eligibility of a person for community supervision, parole, or mandatory supervision.</w:t>
            </w:r>
          </w:p>
          <w:p w14:paraId="76E01C18" w14:textId="77777777" w:rsidR="0017725B" w:rsidRPr="0017725B" w:rsidRDefault="0017725B" w:rsidP="004D02B2">
            <w:pPr>
              <w:rPr>
                <w:b/>
                <w:u w:val="single"/>
              </w:rPr>
            </w:pPr>
          </w:p>
        </w:tc>
      </w:tr>
      <w:tr w:rsidR="00476A40" w14:paraId="073D9729" w14:textId="77777777" w:rsidTr="00345119">
        <w:tc>
          <w:tcPr>
            <w:tcW w:w="9576" w:type="dxa"/>
          </w:tcPr>
          <w:p w14:paraId="13051F1B" w14:textId="77777777" w:rsidR="008423E4" w:rsidRPr="00A8133F" w:rsidRDefault="007F50B8" w:rsidP="004D02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870B33" w14:textId="77777777" w:rsidR="008423E4" w:rsidRDefault="008423E4" w:rsidP="004D02B2"/>
          <w:p w14:paraId="45C58CCD" w14:textId="76FFD4B7" w:rsidR="005349D0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D028EB">
              <w:t>Texas Higher Education Coordinating Board</w:t>
            </w:r>
            <w:r>
              <w:t xml:space="preserve"> in </w:t>
            </w:r>
            <w:r w:rsidR="00D028EB">
              <w:t>SECTION</w:t>
            </w:r>
            <w:r w:rsidR="00032372">
              <w:t>S</w:t>
            </w:r>
            <w:r w:rsidR="00D028EB">
              <w:t xml:space="preserve"> 1</w:t>
            </w:r>
            <w:r>
              <w:t xml:space="preserve"> </w:t>
            </w:r>
            <w:r w:rsidR="00032372">
              <w:t xml:space="preserve">and 3 </w:t>
            </w:r>
            <w:r>
              <w:t>of this bill.</w:t>
            </w:r>
          </w:p>
          <w:p w14:paraId="46B7762E" w14:textId="77777777" w:rsidR="008423E4" w:rsidRPr="00E21FDC" w:rsidRDefault="008423E4" w:rsidP="004D02B2">
            <w:pPr>
              <w:rPr>
                <w:b/>
              </w:rPr>
            </w:pPr>
          </w:p>
        </w:tc>
      </w:tr>
      <w:tr w:rsidR="00476A40" w14:paraId="1A9348D0" w14:textId="77777777" w:rsidTr="00345119">
        <w:tc>
          <w:tcPr>
            <w:tcW w:w="9576" w:type="dxa"/>
          </w:tcPr>
          <w:p w14:paraId="60DCA834" w14:textId="77777777" w:rsidR="008423E4" w:rsidRPr="00A8133F" w:rsidRDefault="007F50B8" w:rsidP="004D02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C2DC875" w14:textId="77777777" w:rsidR="008423E4" w:rsidRDefault="008423E4" w:rsidP="004D02B2"/>
          <w:p w14:paraId="536FE3C1" w14:textId="3C154BF1" w:rsidR="009C36CD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1888 amends the Education Code </w:t>
            </w:r>
            <w:r w:rsidR="00FA66A1" w:rsidRPr="001909FF">
              <w:t>to</w:t>
            </w:r>
            <w:r w:rsidR="00CB0F9F" w:rsidRPr="001909FF">
              <w:t xml:space="preserve"> remove provisions relating to a pilot</w:t>
            </w:r>
            <w:r w:rsidR="00CB0F9F" w:rsidRPr="00B50233">
              <w:t xml:space="preserve"> program for</w:t>
            </w:r>
            <w:r w:rsidR="001909FF">
              <w:t xml:space="preserve"> the award of</w:t>
            </w:r>
            <w:r w:rsidR="00CB0F9F" w:rsidRPr="00B50233">
              <w:t xml:space="preserve"> high school diplomas </w:t>
            </w:r>
            <w:r w:rsidR="001909FF">
              <w:t>to</w:t>
            </w:r>
            <w:r w:rsidR="001909FF" w:rsidRPr="00B50233">
              <w:t xml:space="preserve"> </w:t>
            </w:r>
            <w:r w:rsidR="00CB0F9F" w:rsidRPr="00B50233">
              <w:t>students who demonst</w:t>
            </w:r>
            <w:r w:rsidR="00323F70" w:rsidRPr="00B50233">
              <w:t>rate early readiness</w:t>
            </w:r>
            <w:r w:rsidR="001909FF">
              <w:t xml:space="preserve"> for college</w:t>
            </w:r>
            <w:r w:rsidR="00B50233">
              <w:t xml:space="preserve"> and </w:t>
            </w:r>
            <w:r w:rsidR="00B50233" w:rsidRPr="00B50233">
              <w:t>repeals the Early High School Graduation Scholarship Program</w:t>
            </w:r>
            <w:r w:rsidR="00323F70" w:rsidRPr="00B50233">
              <w:t>.</w:t>
            </w:r>
            <w:r w:rsidR="001909FF">
              <w:t xml:space="preserve"> To replace those programs,</w:t>
            </w:r>
            <w:r w:rsidR="00323F70" w:rsidRPr="00B50233">
              <w:t xml:space="preserve"> </w:t>
            </w:r>
            <w:r w:rsidR="001909FF">
              <w:t>t</w:t>
            </w:r>
            <w:r w:rsidR="00323F70" w:rsidRPr="00B50233">
              <w:t>he bill establishes the Texas First Scholarship Program</w:t>
            </w:r>
            <w:r w:rsidR="00FA66A1" w:rsidRPr="00B50233">
              <w:t xml:space="preserve"> </w:t>
            </w:r>
            <w:r w:rsidR="00323F70" w:rsidRPr="00B50233">
              <w:t>and</w:t>
            </w:r>
            <w:r w:rsidR="00323F70">
              <w:t xml:space="preserve"> </w:t>
            </w:r>
            <w:r w:rsidR="00FA66A1">
              <w:t>require</w:t>
            </w:r>
            <w:r w:rsidR="00323F70">
              <w:t>s</w:t>
            </w:r>
            <w:r w:rsidR="00FA66A1">
              <w:t xml:space="preserve"> the Texas Education A</w:t>
            </w:r>
            <w:r w:rsidR="00FA66A1" w:rsidRPr="00FA66A1">
              <w:t>gency</w:t>
            </w:r>
            <w:r w:rsidR="00FA66A1">
              <w:t xml:space="preserve"> (TEA), in coordination with the Texas Higher Education Coordinating B</w:t>
            </w:r>
            <w:r w:rsidR="00FA66A1" w:rsidRPr="00FA66A1">
              <w:t>oard</w:t>
            </w:r>
            <w:r w:rsidR="00FA66A1">
              <w:t xml:space="preserve"> (THECB)</w:t>
            </w:r>
            <w:r w:rsidR="00FA66A1" w:rsidRPr="00FA66A1">
              <w:t xml:space="preserve">, </w:t>
            </w:r>
            <w:r w:rsidR="00FA66A1">
              <w:t>to</w:t>
            </w:r>
            <w:r w:rsidR="00FA66A1" w:rsidRPr="00FA66A1">
              <w:t xml:space="preserve"> establish the Texas First Early High School Completion Program to allow public high school students who demonstrate early readiness for college to graduate early</w:t>
            </w:r>
            <w:r w:rsidR="00E61A87">
              <w:t xml:space="preserve"> from high school</w:t>
            </w:r>
            <w:r w:rsidR="00323F70">
              <w:t>.</w:t>
            </w:r>
            <w:r w:rsidR="00FA66A1" w:rsidRPr="00FA66A1">
              <w:t xml:space="preserve"> The purpose of the </w:t>
            </w:r>
            <w:r w:rsidR="00C74CD8" w:rsidRPr="00220E82">
              <w:t xml:space="preserve">early high school completion </w:t>
            </w:r>
            <w:r w:rsidR="00FA66A1" w:rsidRPr="00220E82">
              <w:t>program</w:t>
            </w:r>
            <w:r w:rsidR="00FA66A1" w:rsidRPr="00307B89">
              <w:t>, in conjunction with</w:t>
            </w:r>
            <w:r w:rsidR="00FA66A1" w:rsidRPr="00FA66A1">
              <w:t xml:space="preserve"> the </w:t>
            </w:r>
            <w:r w:rsidR="00C74CD8">
              <w:t>s</w:t>
            </w:r>
            <w:r w:rsidR="00FA66A1" w:rsidRPr="00FA66A1">
              <w:t xml:space="preserve">cholarship </w:t>
            </w:r>
            <w:r w:rsidR="00C74CD8">
              <w:t>p</w:t>
            </w:r>
            <w:r w:rsidR="00FA66A1" w:rsidRPr="00FA66A1">
              <w:t>rogram, is to promote efficiency in the state public education system and incentivize the enrollment of high performing students at eligible institutio</w:t>
            </w:r>
            <w:r w:rsidR="00FA66A1" w:rsidRPr="001909FF">
              <w:t>ns</w:t>
            </w:r>
            <w:r w:rsidR="00E61A87" w:rsidRPr="001909FF">
              <w:t xml:space="preserve">, defined by the bill as public institutions of higher education </w:t>
            </w:r>
            <w:r w:rsidR="00307B89">
              <w:t xml:space="preserve">that are </w:t>
            </w:r>
            <w:r w:rsidR="00E61A87" w:rsidRPr="001909FF">
              <w:t xml:space="preserve">designated as research universities or </w:t>
            </w:r>
            <w:r w:rsidR="001909FF">
              <w:t>emerging</w:t>
            </w:r>
            <w:r w:rsidR="00E61A87" w:rsidRPr="001909FF">
              <w:t xml:space="preserve"> research universities under the THECB accountability system</w:t>
            </w:r>
            <w:r w:rsidR="00FA66A1" w:rsidRPr="00FA66A1">
              <w:t>.</w:t>
            </w:r>
            <w:r w:rsidR="000617CA">
              <w:t xml:space="preserve"> The bill requires the THECB</w:t>
            </w:r>
            <w:r w:rsidR="0053590E">
              <w:t>,</w:t>
            </w:r>
            <w:r w:rsidR="000617CA">
              <w:t xml:space="preserve"> </w:t>
            </w:r>
            <w:r w:rsidR="00E61A87">
              <w:t xml:space="preserve">by rule and </w:t>
            </w:r>
            <w:r w:rsidR="000617CA" w:rsidRPr="000617CA">
              <w:t xml:space="preserve">in consultation with </w:t>
            </w:r>
            <w:r w:rsidR="0053590E">
              <w:t>TEA</w:t>
            </w:r>
            <w:r w:rsidR="000617CA" w:rsidRPr="000617CA">
              <w:t xml:space="preserve"> and eligible institutions,</w:t>
            </w:r>
            <w:r w:rsidR="0053590E">
              <w:t xml:space="preserve"> </w:t>
            </w:r>
            <w:r w:rsidR="000617CA">
              <w:t xml:space="preserve">to establish standards for use in the </w:t>
            </w:r>
            <w:r w:rsidR="00C6603B">
              <w:t xml:space="preserve">early high school completion </w:t>
            </w:r>
            <w:r w:rsidR="000617CA">
              <w:t>program regarding the following:</w:t>
            </w:r>
          </w:p>
          <w:p w14:paraId="0681463F" w14:textId="77777777" w:rsidR="000617CA" w:rsidRDefault="007F50B8" w:rsidP="004D02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617CA">
              <w:t>the specific competencies that demonstrate a student's mastery of each subject area for which the</w:t>
            </w:r>
            <w:r>
              <w:t xml:space="preserve"> THECB and the commissioner of education have adopted college readiness standards;</w:t>
            </w:r>
          </w:p>
          <w:p w14:paraId="28709E47" w14:textId="77777777" w:rsidR="000617CA" w:rsidRDefault="007F50B8" w:rsidP="004D02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617CA">
              <w:t>the specific competencies that demonstra</w:t>
            </w:r>
            <w:r w:rsidRPr="000617CA">
              <w:t>te a student's mastery of a language other than English;</w:t>
            </w:r>
            <w:r>
              <w:t xml:space="preserve"> and</w:t>
            </w:r>
          </w:p>
          <w:p w14:paraId="0374D6E6" w14:textId="4EB8DEA2" w:rsidR="000617CA" w:rsidRDefault="007F50B8" w:rsidP="004D02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617CA">
              <w:t xml:space="preserve">acceptable assessments or other means by which a student may demonstrate the student's early readiness for college with respect </w:t>
            </w:r>
            <w:r w:rsidRPr="00845472">
              <w:t xml:space="preserve">to each </w:t>
            </w:r>
            <w:r w:rsidR="0053590E" w:rsidRPr="00845472">
              <w:t>of those</w:t>
            </w:r>
            <w:r w:rsidR="00665DF4" w:rsidRPr="00845472">
              <w:t xml:space="preserve"> competencies</w:t>
            </w:r>
            <w:r w:rsidR="00665DF4">
              <w:t>.</w:t>
            </w:r>
          </w:p>
          <w:p w14:paraId="3464E583" w14:textId="180F381E" w:rsidR="00665DF4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the assessments or</w:t>
            </w:r>
            <w:r>
              <w:t xml:space="preserve"> other means </w:t>
            </w:r>
            <w:r w:rsidR="00B50233">
              <w:t xml:space="preserve">established by </w:t>
            </w:r>
            <w:r>
              <w:t xml:space="preserve">the THECB </w:t>
            </w:r>
            <w:r w:rsidRPr="00B50233">
              <w:t>to be</w:t>
            </w:r>
            <w:r>
              <w:t xml:space="preserve"> equivalent to the </w:t>
            </w:r>
            <w:r w:rsidR="00E61A87">
              <w:t>assessment</w:t>
            </w:r>
            <w:r w:rsidR="00071690">
              <w:t>s</w:t>
            </w:r>
            <w:r w:rsidR="00E61A87">
              <w:t xml:space="preserve"> or other </w:t>
            </w:r>
            <w:r>
              <w:t xml:space="preserve">means eligible institutions commonly use to place students at the institutions in courses that </w:t>
            </w:r>
            <w:r w:rsidR="00AB54F9">
              <w:t>may be credited toward a degree requirement.</w:t>
            </w:r>
          </w:p>
          <w:p w14:paraId="539E1AFF" w14:textId="7AD6AD7A" w:rsidR="00AB54F9" w:rsidRDefault="00AB54F9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CA2259" w14:textId="5A954BD3" w:rsidR="00AB54F9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1888 authorizes a public school district or open-enrollment charter school to issue a </w:t>
            </w:r>
            <w:r w:rsidR="00071690">
              <w:t xml:space="preserve">high school </w:t>
            </w:r>
            <w:r>
              <w:t xml:space="preserve">diploma to a student under </w:t>
            </w:r>
            <w:r w:rsidRPr="00220E82">
              <w:t xml:space="preserve">the </w:t>
            </w:r>
            <w:r w:rsidR="00220E82">
              <w:t>early high school completion</w:t>
            </w:r>
            <w:r w:rsidR="00220E82" w:rsidRPr="00220E82">
              <w:t xml:space="preserve"> </w:t>
            </w:r>
            <w:r w:rsidRPr="00220E82">
              <w:t>program</w:t>
            </w:r>
            <w:r>
              <w:t xml:space="preserve"> if, using the standards establishe</w:t>
            </w:r>
            <w:r w:rsidR="00071690">
              <w:t>d</w:t>
            </w:r>
            <w:r>
              <w:t xml:space="preserve"> </w:t>
            </w:r>
            <w:r w:rsidR="00254750">
              <w:t>by the THECB,</w:t>
            </w:r>
            <w:r>
              <w:t xml:space="preserve"> the student demonstrates mastery of</w:t>
            </w:r>
            <w:r>
              <w:t xml:space="preserve"> and early readiness for college in each </w:t>
            </w:r>
            <w:r w:rsidR="00D651A1">
              <w:t>applicable</w:t>
            </w:r>
            <w:r>
              <w:t xml:space="preserve"> subject area and in a language other than English. The bill establishes that a</w:t>
            </w:r>
            <w:r w:rsidRPr="00AB54F9">
              <w:t xml:space="preserve"> student who earns a</w:t>
            </w:r>
            <w:r w:rsidR="00E55D5A">
              <w:t xml:space="preserve"> </w:t>
            </w:r>
            <w:r w:rsidRPr="00AB54F9">
              <w:t xml:space="preserve">diploma through </w:t>
            </w:r>
            <w:r w:rsidRPr="00220E82">
              <w:t>the program</w:t>
            </w:r>
            <w:r w:rsidRPr="00AB54F9">
              <w:t xml:space="preserve"> is considered to have earned a distinguished level of achievement under the f</w:t>
            </w:r>
            <w:r w:rsidRPr="00AB54F9">
              <w:t xml:space="preserve">oundation high school program. </w:t>
            </w:r>
            <w:r w:rsidR="00CC634D">
              <w:t xml:space="preserve">The bill authorizes </w:t>
            </w:r>
            <w:r w:rsidR="00F14FD4">
              <w:t>a</w:t>
            </w:r>
            <w:r w:rsidRPr="00AB54F9">
              <w:t xml:space="preserve"> student</w:t>
            </w:r>
            <w:r w:rsidR="00CC634D">
              <w:t xml:space="preserve"> to</w:t>
            </w:r>
            <w:r w:rsidRPr="00AB54F9">
              <w:t xml:space="preserve"> apply for admission to an institution of higher education for the first </w:t>
            </w:r>
            <w:r w:rsidR="00F14FD4">
              <w:t>academic term after the</w:t>
            </w:r>
            <w:r w:rsidRPr="00AB54F9">
              <w:t xml:space="preserve"> term in which the student earns a diploma </w:t>
            </w:r>
            <w:r w:rsidRPr="00453605">
              <w:t>through the</w:t>
            </w:r>
            <w:r w:rsidR="00453605">
              <w:t xml:space="preserve"> early high school completion</w:t>
            </w:r>
            <w:r w:rsidRPr="00453605">
              <w:t xml:space="preserve"> </w:t>
            </w:r>
            <w:r w:rsidR="00F14FD4" w:rsidRPr="00453605">
              <w:t>program</w:t>
            </w:r>
            <w:r w:rsidR="00F14FD4">
              <w:t xml:space="preserve"> but establishes that t</w:t>
            </w:r>
            <w:r w:rsidR="00F14FD4" w:rsidRPr="00AB54F9">
              <w:t xml:space="preserve">he student is not guaranteed admission to any institution of higher education </w:t>
            </w:r>
            <w:r w:rsidR="00F14FD4" w:rsidRPr="00453605">
              <w:t>or academic program</w:t>
            </w:r>
            <w:r w:rsidR="00F14FD4" w:rsidRPr="00AB54F9">
              <w:t xml:space="preserve"> solely on the basis of having received the diploma through </w:t>
            </w:r>
            <w:r w:rsidR="00F14FD4" w:rsidRPr="00453605">
              <w:t>the program</w:t>
            </w:r>
            <w:r w:rsidR="00E55D5A">
              <w:t>.</w:t>
            </w:r>
          </w:p>
          <w:p w14:paraId="47D60F20" w14:textId="67226A1C" w:rsidR="00B00BAF" w:rsidRDefault="00B00BAF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4DAAEF" w14:textId="02B247F1" w:rsidR="00B00BAF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1888 </w:t>
            </w:r>
            <w:r w:rsidR="00A200F0" w:rsidRPr="00B50233">
              <w:t>establishes the following</w:t>
            </w:r>
            <w:r w:rsidR="00C74CD8" w:rsidRPr="00B50233">
              <w:t xml:space="preserve"> student</w:t>
            </w:r>
            <w:r w:rsidR="00A200F0" w:rsidRPr="00B50233">
              <w:t xml:space="preserve"> eligibility requirements for a Texas First Scholarship Program</w:t>
            </w:r>
            <w:r w:rsidR="00F14FD4" w:rsidRPr="00B50233">
              <w:t xml:space="preserve"> award</w:t>
            </w:r>
            <w:r w:rsidR="00A200F0" w:rsidRPr="00B50233">
              <w:t>:</w:t>
            </w:r>
          </w:p>
          <w:p w14:paraId="00BF4171" w14:textId="665544AC" w:rsidR="00A200F0" w:rsidRDefault="007F50B8" w:rsidP="004D02B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Texas</w:t>
            </w:r>
            <w:r w:rsidR="00F14FD4">
              <w:t xml:space="preserve"> residency</w:t>
            </w:r>
            <w:r>
              <w:t>, as determined by THECB rules;</w:t>
            </w:r>
          </w:p>
          <w:p w14:paraId="69240F93" w14:textId="1B12E36F" w:rsidR="00A200F0" w:rsidRDefault="007F50B8" w:rsidP="004D02B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early </w:t>
            </w:r>
            <w:r w:rsidRPr="00A200F0">
              <w:t xml:space="preserve">high school </w:t>
            </w:r>
            <w:r w:rsidR="00F14FD4">
              <w:t xml:space="preserve">graduation </w:t>
            </w:r>
            <w:r w:rsidRPr="00A200F0">
              <w:t>under the Texas First Early High School Completion Program</w:t>
            </w:r>
            <w:r>
              <w:t>; and</w:t>
            </w:r>
          </w:p>
          <w:p w14:paraId="5237F8E3" w14:textId="66F92EA8" w:rsidR="00A200F0" w:rsidRDefault="007F50B8" w:rsidP="004D02B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compliance with the financial aid application requirement for high sch</w:t>
            </w:r>
            <w:r>
              <w:t>ool graduation.</w:t>
            </w:r>
          </w:p>
          <w:p w14:paraId="7F9DB4B9" w14:textId="77777777" w:rsidR="00FD1F6A" w:rsidRDefault="00FD1F6A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1C4B86F" w14:textId="5C2567AB" w:rsidR="00FD1F6A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1888 </w:t>
            </w:r>
            <w:r w:rsidR="00184196">
              <w:t>requires the THECB</w:t>
            </w:r>
            <w:r w:rsidR="00372EBA">
              <w:t xml:space="preserve">, </w:t>
            </w:r>
            <w:r w:rsidR="00372EBA" w:rsidRPr="00453605">
              <w:t>beginning with the 2021-2022 academic</w:t>
            </w:r>
            <w:r w:rsidR="00372EBA" w:rsidRPr="00B50233">
              <w:t xml:space="preserve"> year,</w:t>
            </w:r>
            <w:r w:rsidR="00184196" w:rsidRPr="00B50233">
              <w:t xml:space="preserve"> to award to each student</w:t>
            </w:r>
            <w:r>
              <w:t xml:space="preserve"> eligible for the scholarship program</w:t>
            </w:r>
            <w:r w:rsidR="00184196" w:rsidRPr="00B50233">
              <w:t xml:space="preserve"> state credit in </w:t>
            </w:r>
            <w:r>
              <w:t>the following amounts:</w:t>
            </w:r>
          </w:p>
          <w:p w14:paraId="65C33BC4" w14:textId="7C4A04E0" w:rsidR="00FD1F6A" w:rsidRDefault="007F50B8" w:rsidP="004D02B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FD1F6A">
              <w:t xml:space="preserve">for a student who graduated from high school two or more </w:t>
            </w:r>
            <w:r w:rsidRPr="00FD1F6A">
              <w:t>semesters or the equivalent earlier than the student's high school cohort,</w:t>
            </w:r>
            <w:r>
              <w:t xml:space="preserve"> </w:t>
            </w:r>
            <w:r w:rsidR="00184196" w:rsidRPr="00B50233">
              <w:t>the maximum annual TEXAS grant award determined by the THECB for the applicable academic year</w:t>
            </w:r>
            <w:r>
              <w:t>;</w:t>
            </w:r>
            <w:r w:rsidR="00184196" w:rsidRPr="00B50233">
              <w:t xml:space="preserve"> or </w:t>
            </w:r>
          </w:p>
          <w:p w14:paraId="1EFE6181" w14:textId="77777777" w:rsidR="00FD1F6A" w:rsidRDefault="007F50B8" w:rsidP="004D02B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FD1F6A">
              <w:t>for a student who graduated from high school less than two semesters or the equiva</w:t>
            </w:r>
            <w:r w:rsidRPr="00FD1F6A">
              <w:t>lent earlier than the student's high school cohort,</w:t>
            </w:r>
            <w:r>
              <w:t xml:space="preserve"> </w:t>
            </w:r>
            <w:r w:rsidR="00184196" w:rsidRPr="00B50233">
              <w:t>half of that amount</w:t>
            </w:r>
            <w:r>
              <w:t>.</w:t>
            </w:r>
          </w:p>
          <w:p w14:paraId="62A7029A" w14:textId="618C8661" w:rsidR="00167A7F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184196" w:rsidRPr="00184196">
              <w:t xml:space="preserve"> amount of state credit awarded to a student under the </w:t>
            </w:r>
            <w:r w:rsidR="00047CBE">
              <w:t xml:space="preserve">scholarship </w:t>
            </w:r>
            <w:r w:rsidR="00184196" w:rsidRPr="00184196">
              <w:t xml:space="preserve">program </w:t>
            </w:r>
            <w:r>
              <w:t>may not be</w:t>
            </w:r>
            <w:r w:rsidR="00184196" w:rsidRPr="00184196">
              <w:t xml:space="preserve"> considered in the calculation of any state or institutional need-based aid awards or the calculation of the student's overall financial need, </w:t>
            </w:r>
            <w:r>
              <w:t xml:space="preserve">unless the combination of the credit </w:t>
            </w:r>
            <w:r w:rsidRPr="008B486D">
              <w:t xml:space="preserve">and other </w:t>
            </w:r>
            <w:r w:rsidR="008B486D">
              <w:t xml:space="preserve">federal, state, and institutional financial </w:t>
            </w:r>
            <w:r w:rsidRPr="008B486D">
              <w:t>aid</w:t>
            </w:r>
            <w:r>
              <w:t xml:space="preserve"> </w:t>
            </w:r>
            <w:r w:rsidR="00184196" w:rsidRPr="00184196">
              <w:t>for which the student would otherwise be eligible exceeds the estimated total cost of attendance at the eligible institution at which the student is enrolled.</w:t>
            </w:r>
            <w:r w:rsidR="007079FE">
              <w:t xml:space="preserve"> </w:t>
            </w:r>
            <w:r w:rsidR="00FD1F6A">
              <w:t>The bill requires the THECB to issue to the student</w:t>
            </w:r>
            <w:r w:rsidR="00FD1F6A" w:rsidRPr="00B50233">
              <w:t xml:space="preserve"> a certificate indicating the </w:t>
            </w:r>
            <w:r w:rsidR="00FD1F6A" w:rsidRPr="00FD1F6A">
              <w:t>amoun</w:t>
            </w:r>
            <w:r w:rsidR="00FD1F6A" w:rsidRPr="00B50233">
              <w:t>t of the award.</w:t>
            </w:r>
            <w:r w:rsidR="00FD1F6A">
              <w:t xml:space="preserve"> </w:t>
            </w:r>
            <w:r w:rsidR="007079FE" w:rsidRPr="007079FE">
              <w:t xml:space="preserve">State credit awarded to a student </w:t>
            </w:r>
            <w:r w:rsidR="007079FE">
              <w:t>under the</w:t>
            </w:r>
            <w:r>
              <w:t xml:space="preserve"> scholarship</w:t>
            </w:r>
            <w:r w:rsidR="007079FE">
              <w:t xml:space="preserve"> program </w:t>
            </w:r>
            <w:r w:rsidR="007079FE" w:rsidRPr="007079FE">
              <w:t>expires at the end of the first academic year following the stude</w:t>
            </w:r>
            <w:r w:rsidR="00047CBE">
              <w:t>nt's graduation</w:t>
            </w:r>
            <w:r>
              <w:t xml:space="preserve"> from high school</w:t>
            </w:r>
            <w:r w:rsidR="007079FE" w:rsidRPr="007079FE">
              <w:t>.</w:t>
            </w:r>
          </w:p>
          <w:p w14:paraId="7AB1CBFD" w14:textId="77777777" w:rsidR="00167A7F" w:rsidRDefault="00167A7F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032ED9" w14:textId="48A64FD9" w:rsidR="00A200F0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1888 requires an eligible institution, on enrollment of </w:t>
            </w:r>
            <w:r w:rsidR="0055582F">
              <w:t>a</w:t>
            </w:r>
            <w:r w:rsidRPr="0055582F">
              <w:t xml:space="preserve"> student</w:t>
            </w:r>
            <w:r w:rsidR="0055582F">
              <w:t xml:space="preserve"> eligible for </w:t>
            </w:r>
            <w:r w:rsidR="00F55FCA">
              <w:t>the</w:t>
            </w:r>
            <w:r w:rsidR="0055582F">
              <w:t xml:space="preserve"> scholarship </w:t>
            </w:r>
            <w:r w:rsidR="00F55FCA">
              <w:t>program</w:t>
            </w:r>
            <w:r>
              <w:t xml:space="preserve">, to apply to the student's charges for </w:t>
            </w:r>
            <w:r w:rsidRPr="00167A7F">
              <w:t xml:space="preserve">tuition, mandatory fees, and other costs of </w:t>
            </w:r>
            <w:r w:rsidRPr="00167A7F">
              <w:t>attendance for the enrollment period an amount equal to the lesser of</w:t>
            </w:r>
            <w:r>
              <w:t xml:space="preserve"> the amount of state credit awarded to the student under the scholarship program or the student's </w:t>
            </w:r>
            <w:r w:rsidRPr="00167A7F">
              <w:t>actual tuition, mandatory fees, and other costs of attendance at the institution</w:t>
            </w:r>
            <w:r>
              <w:t>.</w:t>
            </w:r>
            <w:r w:rsidR="003579A3">
              <w:t xml:space="preserve"> </w:t>
            </w:r>
          </w:p>
          <w:p w14:paraId="148B572E" w14:textId="572C33CC" w:rsidR="00184196" w:rsidRDefault="00184196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DC0F21" w14:textId="2F52186A" w:rsidR="00F40057" w:rsidRDefault="007F50B8" w:rsidP="004D02B2">
            <w:pPr>
              <w:pStyle w:val="Header"/>
              <w:jc w:val="both"/>
            </w:pPr>
            <w:r>
              <w:t xml:space="preserve">S.B. 1888 </w:t>
            </w:r>
            <w:r w:rsidR="00A45708">
              <w:t xml:space="preserve">requires the THECB, at least once each year, to </w:t>
            </w:r>
            <w:r w:rsidR="00A45708" w:rsidRPr="00A45708">
              <w:t>submit to the commissioner a report on state credit awarded under the</w:t>
            </w:r>
            <w:r w:rsidR="00047CBE">
              <w:t xml:space="preserve"> scholarship</w:t>
            </w:r>
            <w:r w:rsidR="00A45708" w:rsidRPr="00A45708">
              <w:t xml:space="preserve"> program during th</w:t>
            </w:r>
            <w:r w:rsidR="00A45708">
              <w:t xml:space="preserve">e preceding academic year and sets out the required contents of the report. </w:t>
            </w:r>
            <w:r w:rsidR="001A788A" w:rsidRPr="00F40057">
              <w:t>The bill</w:t>
            </w:r>
            <w:r w:rsidR="001A788A">
              <w:t xml:space="preserve"> requires the commissioner</w:t>
            </w:r>
            <w:r>
              <w:t xml:space="preserve"> to take the following actions</w:t>
            </w:r>
            <w:r w:rsidR="001A788A">
              <w:t xml:space="preserve"> </w:t>
            </w:r>
            <w:r w:rsidR="008F117D">
              <w:t xml:space="preserve">as soon as practicable </w:t>
            </w:r>
            <w:r w:rsidR="001A788A" w:rsidRPr="008F117D">
              <w:t>after</w:t>
            </w:r>
            <w:r w:rsidR="001A788A">
              <w:t xml:space="preserve"> receipt of the report</w:t>
            </w:r>
            <w:r>
              <w:t>:</w:t>
            </w:r>
          </w:p>
          <w:p w14:paraId="2D84F9E9" w14:textId="7B7F7983" w:rsidR="00F40057" w:rsidRDefault="007F50B8" w:rsidP="004D02B2">
            <w:pPr>
              <w:pStyle w:val="Header"/>
              <w:numPr>
                <w:ilvl w:val="0"/>
                <w:numId w:val="3"/>
              </w:numPr>
              <w:jc w:val="both"/>
            </w:pPr>
            <w:r>
              <w:t>r</w:t>
            </w:r>
            <w:r w:rsidRPr="00B00BAF">
              <w:t xml:space="preserve">educe the amount of a district's or charter school's entitlement under </w:t>
            </w:r>
            <w:r>
              <w:t>the foundation school program</w:t>
            </w:r>
            <w:r w:rsidRPr="00B00BAF">
              <w:t xml:space="preserve"> for the school year by an amount equal to the total amount o</w:t>
            </w:r>
            <w:r w:rsidRPr="00B00BAF">
              <w:t xml:space="preserve">f state credit issued during the preceding school year to the district's or school's graduates under the </w:t>
            </w:r>
            <w:r>
              <w:t>scholarship</w:t>
            </w:r>
            <w:r w:rsidRPr="00B00BAF">
              <w:t xml:space="preserve"> </w:t>
            </w:r>
            <w:r>
              <w:t xml:space="preserve">program; </w:t>
            </w:r>
            <w:r w:rsidRPr="00F40057">
              <w:t xml:space="preserve">and </w:t>
            </w:r>
          </w:p>
          <w:p w14:paraId="7D9F1D83" w14:textId="77777777" w:rsidR="00F40057" w:rsidRDefault="007F50B8" w:rsidP="004D02B2">
            <w:pPr>
              <w:pStyle w:val="Header"/>
              <w:numPr>
                <w:ilvl w:val="0"/>
                <w:numId w:val="3"/>
              </w:numPr>
              <w:jc w:val="both"/>
            </w:pPr>
            <w:r w:rsidRPr="00F40057">
              <w:t>transfer</w:t>
            </w:r>
            <w:r w:rsidRPr="00A45708">
              <w:t xml:space="preserve"> to the </w:t>
            </w:r>
            <w:r>
              <w:t>THECB</w:t>
            </w:r>
            <w:r w:rsidRPr="00A45708">
              <w:t xml:space="preserve"> an amount of funds equal to the total amount by which </w:t>
            </w:r>
            <w:r>
              <w:t>district and</w:t>
            </w:r>
            <w:r w:rsidRPr="00A45708">
              <w:t xml:space="preserve"> charter </w:t>
            </w:r>
            <w:r>
              <w:t>school entitlements are redu</w:t>
            </w:r>
            <w:r>
              <w:t xml:space="preserve">ced. </w:t>
            </w:r>
          </w:p>
          <w:p w14:paraId="55CBF0A0" w14:textId="208319B4" w:rsidR="00184196" w:rsidRDefault="007F50B8" w:rsidP="004D02B2">
            <w:pPr>
              <w:pStyle w:val="Header"/>
              <w:jc w:val="both"/>
            </w:pPr>
            <w:r>
              <w:t xml:space="preserve">The bill requires the THECB, </w:t>
            </w:r>
            <w:r w:rsidR="008F117D">
              <w:t xml:space="preserve">as soon as practicable </w:t>
            </w:r>
            <w:r w:rsidRPr="008F117D">
              <w:t>after</w:t>
            </w:r>
            <w:r>
              <w:t xml:space="preserve"> receipt of the transferred funds, to distribute </w:t>
            </w:r>
            <w:r w:rsidRPr="00A45708">
              <w:t>to each eligible institution an amount of funds equal to the amount of state credit applied by the institution during the preceding academic yea</w:t>
            </w:r>
            <w:r w:rsidRPr="00A45708">
              <w:t>r</w:t>
            </w:r>
            <w:r>
              <w:t xml:space="preserve">. </w:t>
            </w:r>
          </w:p>
          <w:p w14:paraId="7BCB320F" w14:textId="48D551E7" w:rsidR="001A788A" w:rsidRDefault="001A788A" w:rsidP="004D02B2">
            <w:pPr>
              <w:pStyle w:val="Header"/>
              <w:jc w:val="both"/>
            </w:pPr>
          </w:p>
          <w:p w14:paraId="3AB3E49C" w14:textId="2A2E2649" w:rsidR="001A788A" w:rsidRDefault="007F50B8" w:rsidP="004D02B2">
            <w:pPr>
              <w:pStyle w:val="Header"/>
              <w:jc w:val="both"/>
            </w:pPr>
            <w:r>
              <w:t>S.B. 1888 requires the commissioner to</w:t>
            </w:r>
            <w:r w:rsidRPr="00CC634D">
              <w:t xml:space="preserve"> count toward </w:t>
            </w:r>
            <w:r>
              <w:t xml:space="preserve">a district's or charter school's average daily attendance </w:t>
            </w:r>
            <w:r w:rsidRPr="00CC634D">
              <w:t xml:space="preserve">each student who graduates early </w:t>
            </w:r>
            <w:r w:rsidR="002E697E">
              <w:t xml:space="preserve">from high school in the district or school </w:t>
            </w:r>
            <w:r w:rsidR="002C5A06">
              <w:t xml:space="preserve">under the </w:t>
            </w:r>
            <w:r w:rsidR="002C5A06" w:rsidRPr="00453605">
              <w:t>e</w:t>
            </w:r>
            <w:r w:rsidRPr="00453605">
              <w:t xml:space="preserve">arly </w:t>
            </w:r>
            <w:r w:rsidR="002C5A06" w:rsidRPr="00453605">
              <w:t>h</w:t>
            </w:r>
            <w:r w:rsidRPr="00453605">
              <w:t xml:space="preserve">igh </w:t>
            </w:r>
            <w:r w:rsidR="002C5A06" w:rsidRPr="00453605">
              <w:t>s</w:t>
            </w:r>
            <w:r w:rsidRPr="00453605">
              <w:t xml:space="preserve">chool </w:t>
            </w:r>
            <w:r w:rsidR="002C5A06" w:rsidRPr="00453605">
              <w:t>c</w:t>
            </w:r>
            <w:r w:rsidRPr="00453605">
              <w:t>ompletion program</w:t>
            </w:r>
            <w:r w:rsidRPr="00CC634D">
              <w:t xml:space="preserve"> for the period in </w:t>
            </w:r>
            <w:r w:rsidRPr="00CC634D">
              <w:t>which the student is enrolled at an eligible institution using state credit</w:t>
            </w:r>
            <w:r w:rsidR="002C5A06">
              <w:t xml:space="preserve"> awarded under the s</w:t>
            </w:r>
            <w:r w:rsidRPr="00CC634D">
              <w:t xml:space="preserve">cholarship </w:t>
            </w:r>
            <w:r w:rsidR="002C5A06">
              <w:t>p</w:t>
            </w:r>
            <w:r w:rsidRPr="00CC634D">
              <w:t>rogram based on a 100 percent attendance rate.</w:t>
            </w:r>
          </w:p>
          <w:p w14:paraId="77C3E36E" w14:textId="2E35214F" w:rsidR="00CC634D" w:rsidRDefault="00CC634D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A4A78D" w14:textId="626234CA" w:rsidR="002E697E" w:rsidRDefault="007F50B8" w:rsidP="004D02B2">
            <w:pPr>
              <w:pStyle w:val="Header"/>
              <w:jc w:val="both"/>
            </w:pPr>
            <w:r w:rsidRPr="00FD1F6A">
              <w:t>S.B. 1888</w:t>
            </w:r>
            <w:r>
              <w:t xml:space="preserve"> requires a district or </w:t>
            </w:r>
            <w:r w:rsidR="00AE4D39">
              <w:t xml:space="preserve">charter </w:t>
            </w:r>
            <w:r>
              <w:t>school, on a student's initial enrollment in high school in a grade level below grade 12, to provide to the student and the student's parent or guardian information regarding</w:t>
            </w:r>
            <w:r w:rsidR="00A4687F">
              <w:t xml:space="preserve"> the </w:t>
            </w:r>
            <w:r w:rsidR="00453605">
              <w:t>scholarship program</w:t>
            </w:r>
            <w:r w:rsidR="00A4687F">
              <w:t xml:space="preserve"> and </w:t>
            </w:r>
            <w:r>
              <w:t xml:space="preserve">the requirements to earn a diploma under the </w:t>
            </w:r>
            <w:r w:rsidR="00453605">
              <w:t>early high school completion</w:t>
            </w:r>
            <w:r w:rsidR="00453605" w:rsidRPr="00453605">
              <w:t xml:space="preserve"> </w:t>
            </w:r>
            <w:r w:rsidR="00453605">
              <w:t>p</w:t>
            </w:r>
            <w:r w:rsidRPr="00453605">
              <w:t>rogram</w:t>
            </w:r>
            <w:r>
              <w:t xml:space="preserve">. The bill requires TEA and the THECB </w:t>
            </w:r>
            <w:r w:rsidR="00A4687F">
              <w:t xml:space="preserve">jointly </w:t>
            </w:r>
            <w:r>
              <w:t>to prepare and post on their respective websites a publication that includes the information in a form that enables a district or charter school to reproduce the publication for dist</w:t>
            </w:r>
            <w:r>
              <w:t>ribution.</w:t>
            </w:r>
            <w:r w:rsidR="001A788A">
              <w:t xml:space="preserve"> </w:t>
            </w:r>
          </w:p>
          <w:p w14:paraId="5FE30D6B" w14:textId="77777777" w:rsidR="002E697E" w:rsidRDefault="002E697E" w:rsidP="004D02B2">
            <w:pPr>
              <w:pStyle w:val="Header"/>
              <w:jc w:val="both"/>
            </w:pPr>
          </w:p>
          <w:p w14:paraId="3F24FB4B" w14:textId="6C900744" w:rsidR="008423E4" w:rsidRDefault="007F50B8" w:rsidP="004D02B2">
            <w:pPr>
              <w:pStyle w:val="Header"/>
              <w:jc w:val="both"/>
            </w:pPr>
            <w:r>
              <w:t>S.B. 1888 a</w:t>
            </w:r>
            <w:r w:rsidRPr="00F55FCA">
              <w:t>uthorize</w:t>
            </w:r>
            <w:r>
              <w:t xml:space="preserve">s the THECB to adopt rules necessary to implement the scholarship program. </w:t>
            </w:r>
            <w:r w:rsidR="00C0704C">
              <w:t xml:space="preserve">Implementation of a provision of </w:t>
            </w:r>
            <w:r w:rsidR="002E697E">
              <w:t>S.B. 1888</w:t>
            </w:r>
            <w:r w:rsidR="00C0704C">
              <w:t xml:space="preserve"> by </w:t>
            </w:r>
            <w:r w:rsidR="007079FE">
              <w:t>TEA and the THECB</w:t>
            </w:r>
            <w:r w:rsidR="00C0704C">
              <w:t xml:space="preserve"> is mandatory only if a specific appropriation is made for that purpose.</w:t>
            </w:r>
          </w:p>
          <w:p w14:paraId="08C94F3B" w14:textId="77777777" w:rsidR="00C0704C" w:rsidRDefault="00C0704C" w:rsidP="004D02B2"/>
          <w:p w14:paraId="7451F73E" w14:textId="77777777" w:rsidR="00C0704C" w:rsidRDefault="007F50B8" w:rsidP="004D02B2">
            <w:r>
              <w:t>S.B. 1888 rep</w:t>
            </w:r>
            <w:r>
              <w:t xml:space="preserve">eals Subchapter K, Chapter 56, Education Code. </w:t>
            </w:r>
          </w:p>
          <w:p w14:paraId="2DF13BE3" w14:textId="3668FA2A" w:rsidR="00BD097E" w:rsidRPr="00835628" w:rsidRDefault="00BD097E" w:rsidP="004D02B2">
            <w:pPr>
              <w:rPr>
                <w:b/>
              </w:rPr>
            </w:pPr>
          </w:p>
        </w:tc>
      </w:tr>
      <w:tr w:rsidR="00476A40" w14:paraId="058C1FD5" w14:textId="77777777" w:rsidTr="00345119">
        <w:tc>
          <w:tcPr>
            <w:tcW w:w="9576" w:type="dxa"/>
          </w:tcPr>
          <w:p w14:paraId="1F5D02C5" w14:textId="77777777" w:rsidR="008423E4" w:rsidRPr="00A8133F" w:rsidRDefault="007F50B8" w:rsidP="004D02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4003AD" w14:textId="77777777" w:rsidR="008423E4" w:rsidRDefault="008423E4" w:rsidP="004D02B2"/>
          <w:p w14:paraId="08D9E1F6" w14:textId="77777777" w:rsidR="008423E4" w:rsidRPr="003624F2" w:rsidRDefault="007F50B8" w:rsidP="004D02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9BE533D" w14:textId="77777777" w:rsidR="008423E4" w:rsidRPr="00233FDB" w:rsidRDefault="008423E4" w:rsidP="004D02B2">
            <w:pPr>
              <w:rPr>
                <w:b/>
              </w:rPr>
            </w:pPr>
          </w:p>
        </w:tc>
      </w:tr>
    </w:tbl>
    <w:p w14:paraId="6BADEB98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A340F6C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388C9" w14:textId="77777777" w:rsidR="00000000" w:rsidRDefault="007F50B8">
      <w:r>
        <w:separator/>
      </w:r>
    </w:p>
  </w:endnote>
  <w:endnote w:type="continuationSeparator" w:id="0">
    <w:p w14:paraId="2DC312D9" w14:textId="77777777" w:rsidR="00000000" w:rsidRDefault="007F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CD4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6A40" w14:paraId="2C2F3EC4" w14:textId="77777777" w:rsidTr="009C1E9A">
      <w:trPr>
        <w:cantSplit/>
      </w:trPr>
      <w:tc>
        <w:tcPr>
          <w:tcW w:w="0" w:type="pct"/>
        </w:tcPr>
        <w:p w14:paraId="4316DE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6F68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06B9C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12C5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43E7C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6A40" w14:paraId="7E9F3C1F" w14:textId="77777777" w:rsidTr="009C1E9A">
      <w:trPr>
        <w:cantSplit/>
      </w:trPr>
      <w:tc>
        <w:tcPr>
          <w:tcW w:w="0" w:type="pct"/>
        </w:tcPr>
        <w:p w14:paraId="2B87AC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EA3B01" w14:textId="77777777" w:rsidR="00EC379B" w:rsidRPr="009C1E9A" w:rsidRDefault="007F50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27545</w:t>
          </w:r>
        </w:p>
      </w:tc>
      <w:tc>
        <w:tcPr>
          <w:tcW w:w="2453" w:type="pct"/>
        </w:tcPr>
        <w:p w14:paraId="4AE642D8" w14:textId="04FAD261" w:rsidR="00EC379B" w:rsidRDefault="007F50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B7593">
            <w:t>21.139.1487</w:t>
          </w:r>
          <w:r>
            <w:fldChar w:fldCharType="end"/>
          </w:r>
        </w:p>
      </w:tc>
    </w:tr>
    <w:tr w:rsidR="00476A40" w14:paraId="50021916" w14:textId="77777777" w:rsidTr="009C1E9A">
      <w:trPr>
        <w:cantSplit/>
      </w:trPr>
      <w:tc>
        <w:tcPr>
          <w:tcW w:w="0" w:type="pct"/>
        </w:tcPr>
        <w:p w14:paraId="3DD2616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AF08FA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9C3D99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97EC9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6A40" w14:paraId="63B167C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894D8F" w14:textId="5B9AFAB1" w:rsidR="00EC379B" w:rsidRDefault="007F50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D02B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5D716E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7E71C7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9AA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9915" w14:textId="77777777" w:rsidR="00000000" w:rsidRDefault="007F50B8">
      <w:r>
        <w:separator/>
      </w:r>
    </w:p>
  </w:footnote>
  <w:footnote w:type="continuationSeparator" w:id="0">
    <w:p w14:paraId="66B265FB" w14:textId="77777777" w:rsidR="00000000" w:rsidRDefault="007F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317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4DF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2EC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310"/>
    <w:multiLevelType w:val="hybridMultilevel"/>
    <w:tmpl w:val="043009FC"/>
    <w:lvl w:ilvl="0" w:tplc="C352A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C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A2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A8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2A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E2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67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A4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6B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BC6"/>
    <w:multiLevelType w:val="hybridMultilevel"/>
    <w:tmpl w:val="3BEE9996"/>
    <w:lvl w:ilvl="0" w:tplc="78A26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07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21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0E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C4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EE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C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0E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C4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7A8B"/>
    <w:multiLevelType w:val="hybridMultilevel"/>
    <w:tmpl w:val="EA02F528"/>
    <w:lvl w:ilvl="0" w:tplc="87402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05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69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E3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66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CB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61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A5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F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2DF"/>
    <w:multiLevelType w:val="hybridMultilevel"/>
    <w:tmpl w:val="E258EB06"/>
    <w:lvl w:ilvl="0" w:tplc="31108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06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22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AA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CC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E3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24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A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4C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8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372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CBE"/>
    <w:rsid w:val="000532BD"/>
    <w:rsid w:val="00055C12"/>
    <w:rsid w:val="000608B0"/>
    <w:rsid w:val="0006104C"/>
    <w:rsid w:val="000617CA"/>
    <w:rsid w:val="00061D6B"/>
    <w:rsid w:val="00064BF2"/>
    <w:rsid w:val="000667BA"/>
    <w:rsid w:val="000676A7"/>
    <w:rsid w:val="00071690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E47"/>
    <w:rsid w:val="00137D90"/>
    <w:rsid w:val="00141FB6"/>
    <w:rsid w:val="00142F8E"/>
    <w:rsid w:val="00143C8B"/>
    <w:rsid w:val="0014425A"/>
    <w:rsid w:val="00144785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A7F"/>
    <w:rsid w:val="00171BF2"/>
    <w:rsid w:val="0017347B"/>
    <w:rsid w:val="0017725B"/>
    <w:rsid w:val="0018050C"/>
    <w:rsid w:val="0018117F"/>
    <w:rsid w:val="001824ED"/>
    <w:rsid w:val="00183262"/>
    <w:rsid w:val="00184196"/>
    <w:rsid w:val="00184B03"/>
    <w:rsid w:val="00185C59"/>
    <w:rsid w:val="00187C1B"/>
    <w:rsid w:val="001908AC"/>
    <w:rsid w:val="001909FF"/>
    <w:rsid w:val="00190CFB"/>
    <w:rsid w:val="001929B6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88A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E82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750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A06"/>
    <w:rsid w:val="002D05CC"/>
    <w:rsid w:val="002D305A"/>
    <w:rsid w:val="002E0D0A"/>
    <w:rsid w:val="002E21B8"/>
    <w:rsid w:val="002E697E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B89"/>
    <w:rsid w:val="00313DFE"/>
    <w:rsid w:val="003143B2"/>
    <w:rsid w:val="00314821"/>
    <w:rsid w:val="0031483F"/>
    <w:rsid w:val="0031741B"/>
    <w:rsid w:val="00321337"/>
    <w:rsid w:val="00321F2F"/>
    <w:rsid w:val="003237F6"/>
    <w:rsid w:val="00323F70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9A3"/>
    <w:rsid w:val="00357CA1"/>
    <w:rsid w:val="00361FE9"/>
    <w:rsid w:val="003624F2"/>
    <w:rsid w:val="00363854"/>
    <w:rsid w:val="00364315"/>
    <w:rsid w:val="003643E2"/>
    <w:rsid w:val="00370155"/>
    <w:rsid w:val="003712D5"/>
    <w:rsid w:val="00372EBA"/>
    <w:rsid w:val="003747DF"/>
    <w:rsid w:val="00377E3D"/>
    <w:rsid w:val="003847E8"/>
    <w:rsid w:val="00386B42"/>
    <w:rsid w:val="0038731D"/>
    <w:rsid w:val="00387B60"/>
    <w:rsid w:val="00390098"/>
    <w:rsid w:val="00392DA1"/>
    <w:rsid w:val="00393718"/>
    <w:rsid w:val="0039547D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4E5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605"/>
    <w:rsid w:val="00455936"/>
    <w:rsid w:val="00455ACE"/>
    <w:rsid w:val="00461B69"/>
    <w:rsid w:val="00462B3D"/>
    <w:rsid w:val="00474927"/>
    <w:rsid w:val="00475913"/>
    <w:rsid w:val="00476A40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2B2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CCC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9D0"/>
    <w:rsid w:val="00534A49"/>
    <w:rsid w:val="0053590E"/>
    <w:rsid w:val="005363BB"/>
    <w:rsid w:val="0053762F"/>
    <w:rsid w:val="00541B98"/>
    <w:rsid w:val="00543374"/>
    <w:rsid w:val="00545548"/>
    <w:rsid w:val="00546923"/>
    <w:rsid w:val="00551CA6"/>
    <w:rsid w:val="00555034"/>
    <w:rsid w:val="0055582F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59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DF4"/>
    <w:rsid w:val="0067036E"/>
    <w:rsid w:val="00671693"/>
    <w:rsid w:val="006757AA"/>
    <w:rsid w:val="0068127E"/>
    <w:rsid w:val="00681790"/>
    <w:rsid w:val="006823AA"/>
    <w:rsid w:val="00684B98"/>
    <w:rsid w:val="0068580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D58"/>
    <w:rsid w:val="007031BD"/>
    <w:rsid w:val="00703E80"/>
    <w:rsid w:val="00705276"/>
    <w:rsid w:val="007066A0"/>
    <w:rsid w:val="007075FB"/>
    <w:rsid w:val="0070787B"/>
    <w:rsid w:val="007079FE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D70"/>
    <w:rsid w:val="00766E12"/>
    <w:rsid w:val="0077098E"/>
    <w:rsid w:val="00771287"/>
    <w:rsid w:val="0077149E"/>
    <w:rsid w:val="00777518"/>
    <w:rsid w:val="0077779E"/>
    <w:rsid w:val="00780FB6"/>
    <w:rsid w:val="00783645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08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0B8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47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86D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17D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F45"/>
    <w:rsid w:val="00946044"/>
    <w:rsid w:val="009465AB"/>
    <w:rsid w:val="00946DEE"/>
    <w:rsid w:val="00953499"/>
    <w:rsid w:val="00954A16"/>
    <w:rsid w:val="0095696D"/>
    <w:rsid w:val="0096482F"/>
    <w:rsid w:val="00964E3A"/>
    <w:rsid w:val="009652B7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0F0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708"/>
    <w:rsid w:val="00A4687F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4F9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D39"/>
    <w:rsid w:val="00AE4F1C"/>
    <w:rsid w:val="00AF1433"/>
    <w:rsid w:val="00AF19C2"/>
    <w:rsid w:val="00AF2132"/>
    <w:rsid w:val="00AF48B4"/>
    <w:rsid w:val="00AF4923"/>
    <w:rsid w:val="00AF7C74"/>
    <w:rsid w:val="00B000AF"/>
    <w:rsid w:val="00B00B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9B7"/>
    <w:rsid w:val="00B34F25"/>
    <w:rsid w:val="00B43672"/>
    <w:rsid w:val="00B473D8"/>
    <w:rsid w:val="00B50233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97E"/>
    <w:rsid w:val="00BD0A32"/>
    <w:rsid w:val="00BD4E55"/>
    <w:rsid w:val="00BD513B"/>
    <w:rsid w:val="00BD5E52"/>
    <w:rsid w:val="00BE00CD"/>
    <w:rsid w:val="00BE0E75"/>
    <w:rsid w:val="00BE1789"/>
    <w:rsid w:val="00BE192F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331"/>
    <w:rsid w:val="00C013F4"/>
    <w:rsid w:val="00C040AB"/>
    <w:rsid w:val="00C0499B"/>
    <w:rsid w:val="00C05406"/>
    <w:rsid w:val="00C05CF0"/>
    <w:rsid w:val="00C0704C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03B"/>
    <w:rsid w:val="00C72956"/>
    <w:rsid w:val="00C73045"/>
    <w:rsid w:val="00C73212"/>
    <w:rsid w:val="00C7354A"/>
    <w:rsid w:val="00C74379"/>
    <w:rsid w:val="00C74CD8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0F9F"/>
    <w:rsid w:val="00CB3627"/>
    <w:rsid w:val="00CB4B4B"/>
    <w:rsid w:val="00CB4B73"/>
    <w:rsid w:val="00CB74CB"/>
    <w:rsid w:val="00CB7E04"/>
    <w:rsid w:val="00CC24B7"/>
    <w:rsid w:val="00CC634D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8EB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E97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1A1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88A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5A"/>
    <w:rsid w:val="00E55DA0"/>
    <w:rsid w:val="00E56033"/>
    <w:rsid w:val="00E61159"/>
    <w:rsid w:val="00E61A87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B4D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FD4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057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FCA"/>
    <w:rsid w:val="00F5605D"/>
    <w:rsid w:val="00F6403D"/>
    <w:rsid w:val="00F6514B"/>
    <w:rsid w:val="00F6587F"/>
    <w:rsid w:val="00F67981"/>
    <w:rsid w:val="00F706CA"/>
    <w:rsid w:val="00F70F8D"/>
    <w:rsid w:val="00F71246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6A1"/>
    <w:rsid w:val="00FB16CD"/>
    <w:rsid w:val="00FB488C"/>
    <w:rsid w:val="00FB73AE"/>
    <w:rsid w:val="00FC5388"/>
    <w:rsid w:val="00FC726C"/>
    <w:rsid w:val="00FD1B4B"/>
    <w:rsid w:val="00FD1B94"/>
    <w:rsid w:val="00FD1F6A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6C5F75-B3B8-43A1-ADB0-8287C4E1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70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0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04C"/>
    <w:rPr>
      <w:b/>
      <w:bCs/>
    </w:rPr>
  </w:style>
  <w:style w:type="paragraph" w:styleId="Revision">
    <w:name w:val="Revision"/>
    <w:hidden/>
    <w:uiPriority w:val="99"/>
    <w:semiHidden/>
    <w:rsid w:val="00503C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7424</Characters>
  <Application>Microsoft Office Word</Application>
  <DocSecurity>4</DocSecurity>
  <Lines>140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SB01888 (Committee Report (Unamended))</vt:lpstr>
    </vt:vector>
  </TitlesOfParts>
  <Company>State of Texas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27545</dc:subject>
  <dc:creator>State of Texas</dc:creator>
  <dc:description>SB 1888 by Creighton-(H)Higher Education</dc:description>
  <cp:lastModifiedBy>Damian Duarte</cp:lastModifiedBy>
  <cp:revision>2</cp:revision>
  <cp:lastPrinted>2003-11-26T17:21:00Z</cp:lastPrinted>
  <dcterms:created xsi:type="dcterms:W3CDTF">2021-05-20T21:27:00Z</dcterms:created>
  <dcterms:modified xsi:type="dcterms:W3CDTF">2021-05-20T21:27:00Z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21.139.1487</vt:lpwstr>
  </property>
</Properties>
</file>