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2511F4" w14:paraId="4E1FF910" w14:textId="77777777" w:rsidTr="00345119">
        <w:tc>
          <w:tcPr>
            <w:tcW w:w="9576" w:type="dxa"/>
            <w:noWrap/>
          </w:tcPr>
          <w:p w14:paraId="0A788F59" w14:textId="77777777" w:rsidR="008423E4" w:rsidRPr="0022177D" w:rsidRDefault="00576FB0" w:rsidP="00AF4E3F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14:paraId="3BA2A957" w14:textId="77777777" w:rsidR="008423E4" w:rsidRPr="0022177D" w:rsidRDefault="008423E4" w:rsidP="00AF4E3F">
      <w:pPr>
        <w:jc w:val="center"/>
      </w:pPr>
    </w:p>
    <w:p w14:paraId="6A472FDE" w14:textId="77777777" w:rsidR="008423E4" w:rsidRPr="00B31F0E" w:rsidRDefault="008423E4" w:rsidP="00AF4E3F"/>
    <w:p w14:paraId="48043981" w14:textId="77777777" w:rsidR="008423E4" w:rsidRPr="00742794" w:rsidRDefault="008423E4" w:rsidP="00AF4E3F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2511F4" w14:paraId="6E59F351" w14:textId="77777777" w:rsidTr="00345119">
        <w:tc>
          <w:tcPr>
            <w:tcW w:w="9576" w:type="dxa"/>
          </w:tcPr>
          <w:p w14:paraId="651EEC3E" w14:textId="77777777" w:rsidR="008423E4" w:rsidRPr="00861995" w:rsidRDefault="00576FB0" w:rsidP="00AF4E3F">
            <w:pPr>
              <w:jc w:val="right"/>
            </w:pPr>
            <w:r>
              <w:t>C.S.S.B. 1900</w:t>
            </w:r>
          </w:p>
        </w:tc>
      </w:tr>
      <w:tr w:rsidR="002511F4" w14:paraId="0704054F" w14:textId="77777777" w:rsidTr="00345119">
        <w:tc>
          <w:tcPr>
            <w:tcW w:w="9576" w:type="dxa"/>
          </w:tcPr>
          <w:p w14:paraId="0BD860BE" w14:textId="77777777" w:rsidR="008423E4" w:rsidRPr="00861995" w:rsidRDefault="00576FB0" w:rsidP="00AF4E3F">
            <w:pPr>
              <w:jc w:val="right"/>
            </w:pPr>
            <w:r>
              <w:t xml:space="preserve">By: </w:t>
            </w:r>
            <w:r w:rsidR="003D1410">
              <w:t>Zaffirini</w:t>
            </w:r>
          </w:p>
        </w:tc>
      </w:tr>
      <w:tr w:rsidR="002511F4" w14:paraId="4E5527DF" w14:textId="77777777" w:rsidTr="00345119">
        <w:tc>
          <w:tcPr>
            <w:tcW w:w="9576" w:type="dxa"/>
          </w:tcPr>
          <w:p w14:paraId="404C6896" w14:textId="77777777" w:rsidR="008423E4" w:rsidRPr="00861995" w:rsidRDefault="00576FB0" w:rsidP="00AF4E3F">
            <w:pPr>
              <w:jc w:val="right"/>
            </w:pPr>
            <w:r>
              <w:t>Pensions, Investments &amp; Financial Services</w:t>
            </w:r>
          </w:p>
        </w:tc>
      </w:tr>
      <w:tr w:rsidR="002511F4" w14:paraId="4F593FC6" w14:textId="77777777" w:rsidTr="00345119">
        <w:tc>
          <w:tcPr>
            <w:tcW w:w="9576" w:type="dxa"/>
          </w:tcPr>
          <w:p w14:paraId="33E766A3" w14:textId="77777777" w:rsidR="008423E4" w:rsidRDefault="00576FB0" w:rsidP="00AF4E3F">
            <w:pPr>
              <w:jc w:val="right"/>
            </w:pPr>
            <w:r>
              <w:t>Committee Report (Substituted)</w:t>
            </w:r>
          </w:p>
        </w:tc>
      </w:tr>
    </w:tbl>
    <w:p w14:paraId="2DF0707D" w14:textId="77777777" w:rsidR="008423E4" w:rsidRDefault="008423E4" w:rsidP="00AF4E3F">
      <w:pPr>
        <w:tabs>
          <w:tab w:val="right" w:pos="9360"/>
        </w:tabs>
      </w:pPr>
    </w:p>
    <w:p w14:paraId="7C1831EA" w14:textId="77777777" w:rsidR="008423E4" w:rsidRDefault="008423E4" w:rsidP="00AF4E3F"/>
    <w:p w14:paraId="473FDB4A" w14:textId="77777777" w:rsidR="008423E4" w:rsidRDefault="008423E4" w:rsidP="00AF4E3F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2511F4" w14:paraId="6DBC221F" w14:textId="77777777" w:rsidTr="00345119">
        <w:tc>
          <w:tcPr>
            <w:tcW w:w="9576" w:type="dxa"/>
          </w:tcPr>
          <w:p w14:paraId="77CC7454" w14:textId="77777777" w:rsidR="008423E4" w:rsidRPr="00A8133F" w:rsidRDefault="00576FB0" w:rsidP="00AF4E3F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14:paraId="7997C189" w14:textId="77777777" w:rsidR="008423E4" w:rsidRDefault="008423E4" w:rsidP="00AF4E3F"/>
          <w:p w14:paraId="49F07884" w14:textId="3FA9D2FD" w:rsidR="008423E4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has been noted that </w:t>
            </w:r>
            <w:r w:rsidR="00E51749" w:rsidRPr="00E51749">
              <w:t xml:space="preserve">the Department of Savings and Mortgage Lending (SML) lacks equivalent authority to the Texas Department of Banking regarding </w:t>
            </w:r>
            <w:r>
              <w:t xml:space="preserve">the </w:t>
            </w:r>
            <w:r w:rsidR="00E51749" w:rsidRPr="00E51749">
              <w:t xml:space="preserve">oversight of third-party service providers to state savings banks. </w:t>
            </w:r>
            <w:r>
              <w:t>Furthermore, state law governing SML</w:t>
            </w:r>
            <w:r w:rsidR="00E51749" w:rsidRPr="00E51749">
              <w:t xml:space="preserve"> includes several outdated provisions, some of which actively impede commerce. </w:t>
            </w:r>
            <w:r w:rsidR="00B656D3">
              <w:t xml:space="preserve">There have been calls to update these provisions to ensure Texas commerce is operating efficiently and better reflects modern practices. C.S.S.B. 1900 seeks to address this issue by revising </w:t>
            </w:r>
            <w:r w:rsidR="00AB1B43">
              <w:t xml:space="preserve">provisions relating to </w:t>
            </w:r>
            <w:r w:rsidR="00B656D3">
              <w:t>the regulatory authority of the savings and mortgage lending commissioner</w:t>
            </w:r>
            <w:r w:rsidR="00AB1B43">
              <w:t xml:space="preserve"> and providing for the collection of certain fees</w:t>
            </w:r>
            <w:r w:rsidR="00E51749" w:rsidRPr="00E51749">
              <w:t>.</w:t>
            </w:r>
          </w:p>
          <w:p w14:paraId="294C433C" w14:textId="77777777" w:rsidR="008423E4" w:rsidRPr="00E26B13" w:rsidRDefault="008423E4" w:rsidP="00AF4E3F">
            <w:pPr>
              <w:rPr>
                <w:b/>
              </w:rPr>
            </w:pPr>
          </w:p>
        </w:tc>
      </w:tr>
      <w:tr w:rsidR="002511F4" w14:paraId="0539408E" w14:textId="77777777" w:rsidTr="00345119">
        <w:tc>
          <w:tcPr>
            <w:tcW w:w="9576" w:type="dxa"/>
          </w:tcPr>
          <w:p w14:paraId="6575EA7B" w14:textId="77777777" w:rsidR="0017725B" w:rsidRDefault="00576FB0" w:rsidP="00AF4E3F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14:paraId="77B16E2F" w14:textId="77777777" w:rsidR="0017725B" w:rsidRDefault="0017725B" w:rsidP="00AF4E3F">
            <w:pPr>
              <w:rPr>
                <w:b/>
                <w:u w:val="single"/>
              </w:rPr>
            </w:pPr>
          </w:p>
          <w:p w14:paraId="6CDD0ACA" w14:textId="77777777" w:rsidR="00E51749" w:rsidRPr="00E51749" w:rsidRDefault="00576FB0" w:rsidP="00AF4E3F">
            <w:pPr>
              <w:jc w:val="both"/>
            </w:pPr>
            <w:r>
              <w:t>It is the committee's opinion that this bill does not expressly create a criminal offense, i</w:t>
            </w:r>
            <w:r>
              <w:t>ncrease the punishment for an existing criminal offense or category of offenses, or change the eligibility of a person for community supervision, parole, or mandatory supervision.</w:t>
            </w:r>
          </w:p>
          <w:p w14:paraId="76F3E230" w14:textId="77777777" w:rsidR="0017725B" w:rsidRPr="0017725B" w:rsidRDefault="0017725B" w:rsidP="00AF4E3F">
            <w:pPr>
              <w:rPr>
                <w:b/>
                <w:u w:val="single"/>
              </w:rPr>
            </w:pPr>
          </w:p>
        </w:tc>
      </w:tr>
      <w:tr w:rsidR="002511F4" w14:paraId="01A6D12A" w14:textId="77777777" w:rsidTr="00345119">
        <w:tc>
          <w:tcPr>
            <w:tcW w:w="9576" w:type="dxa"/>
          </w:tcPr>
          <w:p w14:paraId="006E3778" w14:textId="77777777" w:rsidR="008423E4" w:rsidRPr="00A8133F" w:rsidRDefault="00576FB0" w:rsidP="00AF4E3F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14:paraId="1F52ACB2" w14:textId="77777777" w:rsidR="008423E4" w:rsidRDefault="008423E4" w:rsidP="00AF4E3F"/>
          <w:p w14:paraId="41B7E1B0" w14:textId="77777777" w:rsidR="00E51749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It is the committee's opinion that this bill does n</w:t>
            </w:r>
            <w:r>
              <w:t>ot expressly grant any additional rulemaking authority to a state officer, department, agency, or institution.</w:t>
            </w:r>
          </w:p>
          <w:p w14:paraId="4659E4AE" w14:textId="77777777" w:rsidR="008423E4" w:rsidRPr="00E21FDC" w:rsidRDefault="008423E4" w:rsidP="00AF4E3F">
            <w:pPr>
              <w:rPr>
                <w:b/>
              </w:rPr>
            </w:pPr>
          </w:p>
        </w:tc>
      </w:tr>
      <w:tr w:rsidR="002511F4" w14:paraId="18CD940E" w14:textId="77777777" w:rsidTr="00345119">
        <w:tc>
          <w:tcPr>
            <w:tcW w:w="9576" w:type="dxa"/>
          </w:tcPr>
          <w:p w14:paraId="77B2E596" w14:textId="77777777" w:rsidR="008423E4" w:rsidRPr="00A8133F" w:rsidRDefault="00576FB0" w:rsidP="00AF4E3F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14:paraId="251EA794" w14:textId="77777777" w:rsidR="008423E4" w:rsidRDefault="008423E4" w:rsidP="00AF4E3F"/>
          <w:p w14:paraId="540D12F3" w14:textId="1E0DDBF8" w:rsidR="00E51749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1900 amends the Finance Code </w:t>
            </w:r>
            <w:r w:rsidR="008812F8">
              <w:t xml:space="preserve">to </w:t>
            </w:r>
            <w:r w:rsidR="00C83B9B">
              <w:t xml:space="preserve">give </w:t>
            </w:r>
            <w:r>
              <w:t>the</w:t>
            </w:r>
            <w:r w:rsidRPr="00E51749">
              <w:t xml:space="preserve"> savings and mortgage lending commissioner</w:t>
            </w:r>
            <w:r>
              <w:t>, on receipt of an application for change</w:t>
            </w:r>
            <w:r>
              <w:t xml:space="preserve"> of control of a savings bank,</w:t>
            </w:r>
            <w:r w:rsidR="0094517A">
              <w:t xml:space="preserve"> </w:t>
            </w:r>
            <w:r w:rsidR="00C83B9B">
              <w:t xml:space="preserve">the option </w:t>
            </w:r>
            <w:r>
              <w:t xml:space="preserve">to publish </w:t>
            </w:r>
            <w:r w:rsidR="00C83B9B">
              <w:t>certain</w:t>
            </w:r>
            <w:r w:rsidR="0094517A">
              <w:t xml:space="preserve"> information</w:t>
            </w:r>
            <w:r w:rsidR="00C83B9B">
              <w:t xml:space="preserve"> relating to the application</w:t>
            </w:r>
            <w:r w:rsidR="0094517A">
              <w:t xml:space="preserve"> </w:t>
            </w:r>
            <w:r>
              <w:t xml:space="preserve">in a newspaper of general circulation </w:t>
            </w:r>
            <w:r w:rsidR="00C83B9B">
              <w:t xml:space="preserve">that is printed in English in the county in which the bank is to have its principal office </w:t>
            </w:r>
            <w:r w:rsidR="0094517A">
              <w:t>as an alternative to submitting the information to the Texas Register</w:t>
            </w:r>
            <w:r w:rsidR="00364BC0">
              <w:t>.</w:t>
            </w:r>
          </w:p>
          <w:p w14:paraId="149CCFC5" w14:textId="77777777" w:rsidR="00364BC0" w:rsidRDefault="00364BC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5EDB7ABA" w14:textId="7AD6DFCA" w:rsidR="00364BC0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1900 authorizes the commissioner to regulate and examine</w:t>
            </w:r>
            <w:r w:rsidR="00BE157A">
              <w:t xml:space="preserve"> the following activities and services</w:t>
            </w:r>
            <w:r>
              <w:t xml:space="preserve"> to the same extent as if the</w:t>
            </w:r>
            <w:r w:rsidR="00BE157A">
              <w:t>y</w:t>
            </w:r>
            <w:r>
              <w:t xml:space="preserve"> were performed by a state savings bank on its own premises:</w:t>
            </w:r>
          </w:p>
          <w:p w14:paraId="25001A52" w14:textId="77777777" w:rsidR="00364BC0" w:rsidRDefault="00576FB0" w:rsidP="00AF4E3F">
            <w:pPr>
              <w:pStyle w:val="Header"/>
              <w:numPr>
                <w:ilvl w:val="0"/>
                <w:numId w:val="2"/>
              </w:numPr>
              <w:jc w:val="both"/>
            </w:pPr>
            <w:r>
              <w:t>the activities o</w:t>
            </w:r>
            <w:r>
              <w:t>f a state savings bank affiliate; and</w:t>
            </w:r>
          </w:p>
          <w:p w14:paraId="0FFE9315" w14:textId="352D9E17" w:rsidR="00364BC0" w:rsidRDefault="00576FB0" w:rsidP="00AF4E3F">
            <w:pPr>
              <w:pStyle w:val="Header"/>
              <w:numPr>
                <w:ilvl w:val="0"/>
                <w:numId w:val="2"/>
              </w:numPr>
              <w:tabs>
                <w:tab w:val="clear" w:pos="4320"/>
                <w:tab w:val="clear" w:pos="8640"/>
              </w:tabs>
              <w:jc w:val="both"/>
            </w:pPr>
            <w:r>
              <w:t>the services or activities of a third-party service provider that a state savings bank or state savings bank affiliate has contracted for or otherwise arranged to be performed on behalf of the bank or affiliate.</w:t>
            </w:r>
          </w:p>
          <w:p w14:paraId="345D578F" w14:textId="4050C87D" w:rsidR="00C36953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364BC0">
              <w:t>The</w:t>
            </w:r>
            <w:r>
              <w:t xml:space="preserve"> bi</w:t>
            </w:r>
            <w:r>
              <w:t>ll authorizes the commissioner to</w:t>
            </w:r>
            <w:r w:rsidRPr="00364BC0">
              <w:t xml:space="preserve"> collect a fee from an examined third-party service provider or affiliate in connection with each examination to cover the </w:t>
            </w:r>
            <w:r w:rsidR="00BE157A">
              <w:t xml:space="preserve">examination </w:t>
            </w:r>
            <w:r w:rsidRPr="00364BC0">
              <w:t xml:space="preserve">cost or </w:t>
            </w:r>
            <w:r>
              <w:t xml:space="preserve">to </w:t>
            </w:r>
            <w:r w:rsidRPr="00364BC0">
              <w:t>collect that fee from the state savings banks that use the examined third-par</w:t>
            </w:r>
            <w:r w:rsidRPr="00364BC0">
              <w:t>ty service provider.</w:t>
            </w:r>
            <w:r>
              <w:t xml:space="preserve"> </w:t>
            </w:r>
            <w:r w:rsidR="00BE157A">
              <w:t>F</w:t>
            </w:r>
            <w:r w:rsidR="00304887">
              <w:t>or purposes of the regulation and examination of these entities</w:t>
            </w:r>
            <w:r w:rsidR="00BE157A">
              <w:t>,</w:t>
            </w:r>
            <w:r w:rsidR="00304887">
              <w:t xml:space="preserve"> a third-party service provider or state savings bank affiliate does not include</w:t>
            </w:r>
            <w:r w:rsidR="00B919AE">
              <w:t xml:space="preserve"> a company or firm in which ownership or membership is limited to individuals and conditioned by law on the existence and maintenance of professional licensing</w:t>
            </w:r>
            <w:r w:rsidR="00216C71">
              <w:t xml:space="preserve">. </w:t>
            </w:r>
          </w:p>
          <w:p w14:paraId="7BF4D500" w14:textId="77777777" w:rsidR="00C36953" w:rsidRDefault="00C36953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7A9C48D9" w14:textId="5D2237D2" w:rsidR="00364BC0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1900 </w:t>
            </w:r>
            <w:r w:rsidR="00726FC7">
              <w:t xml:space="preserve">authorizes the commissioner, </w:t>
            </w:r>
            <w:r w:rsidR="00304887">
              <w:t>in</w:t>
            </w:r>
            <w:r w:rsidR="00BE157A">
              <w:t xml:space="preserve"> order to</w:t>
            </w:r>
            <w:r w:rsidR="00304887">
              <w:t xml:space="preserve"> </w:t>
            </w:r>
            <w:r w:rsidR="00304887" w:rsidRPr="00726FC7">
              <w:t>promot</w:t>
            </w:r>
            <w:r w:rsidR="00BE157A">
              <w:t>e</w:t>
            </w:r>
            <w:r w:rsidR="00304887" w:rsidRPr="00726FC7">
              <w:t xml:space="preserve"> </w:t>
            </w:r>
            <w:r w:rsidR="00726FC7" w:rsidRPr="00726FC7">
              <w:t xml:space="preserve">regulatory efficiency, </w:t>
            </w:r>
            <w:r w:rsidR="00304887">
              <w:t>to accept the results of an examination</w:t>
            </w:r>
            <w:r w:rsidR="00214F67">
              <w:t xml:space="preserve"> conducted</w:t>
            </w:r>
            <w:r w:rsidR="00726FC7" w:rsidRPr="00726FC7">
              <w:t xml:space="preserve"> in the preceding 24 months</w:t>
            </w:r>
            <w:r w:rsidR="00304887">
              <w:t xml:space="preserve"> of</w:t>
            </w:r>
            <w:r w:rsidR="00726FC7" w:rsidRPr="00726FC7">
              <w:t xml:space="preserve"> a third-party service provider or affiliate by a federal or state financial services regulatory agency or by a member agency of the Federal Financial Institutions Examination Council, or its successor agency,</w:t>
            </w:r>
            <w:r w:rsidR="00726FC7">
              <w:t xml:space="preserve"> instead of conducting the commissioner's own examination of the provider or affiliate. The bill expressly prohibits </w:t>
            </w:r>
            <w:r w:rsidR="00304887">
              <w:t xml:space="preserve">this authorization </w:t>
            </w:r>
            <w:r w:rsidR="00726FC7">
              <w:t>from being construed</w:t>
            </w:r>
            <w:r>
              <w:t xml:space="preserve"> </w:t>
            </w:r>
            <w:r w:rsidRPr="00C36953">
              <w:t xml:space="preserve">as limiting or restricting the commissioner from participating in an examination of a third-party service provider or affiliate conducted by </w:t>
            </w:r>
            <w:r w:rsidR="00304887">
              <w:t>any such agency</w:t>
            </w:r>
            <w:r w:rsidRPr="00C36953">
              <w:t>.</w:t>
            </w:r>
            <w:r w:rsidR="00726FC7">
              <w:t xml:space="preserve"> </w:t>
            </w:r>
          </w:p>
          <w:p w14:paraId="48FE4AE9" w14:textId="4AB70782" w:rsidR="00CE3A5D" w:rsidRDefault="00CE3A5D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AA7E7EF" w14:textId="7D19F6C4" w:rsidR="00CE3A5D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C.S.S.B. 1900 subjects a</w:t>
            </w:r>
            <w:r w:rsidRPr="00736B13">
              <w:t xml:space="preserve"> third-party service provider that refuses to submit to examination or to pay an assessed fee for examination to an enforcement action under </w:t>
            </w:r>
            <w:r>
              <w:t xml:space="preserve">Finance Code provisions </w:t>
            </w:r>
            <w:r w:rsidR="006F0E21">
              <w:t>governing the</w:t>
            </w:r>
            <w:r>
              <w:t xml:space="preserve"> supervision and regulation of savings banks</w:t>
            </w:r>
            <w:r w:rsidRPr="00736B13">
              <w:t>. With res</w:t>
            </w:r>
            <w:r w:rsidRPr="00736B13">
              <w:t xml:space="preserve">pect to </w:t>
            </w:r>
            <w:r w:rsidR="00214F67">
              <w:t xml:space="preserve">such </w:t>
            </w:r>
            <w:r w:rsidRPr="00736B13">
              <w:t>a refusal to submit to examination, the commissioner may notify all state savings banks of the refusal and warn that continued use of the third-party service provider may constitute an unsafe and unsound banking practice.</w:t>
            </w:r>
          </w:p>
          <w:p w14:paraId="3529263D" w14:textId="4CB3AF15" w:rsidR="00736B13" w:rsidRDefault="00736B13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4508A74" w14:textId="218A4953" w:rsidR="00736B13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C.S.S.</w:t>
            </w:r>
            <w:r w:rsidR="00424C9E">
              <w:t>B. 1900</w:t>
            </w:r>
            <w:r w:rsidR="00214F67">
              <w:t xml:space="preserve"> authorizes the commissioner to do the following</w:t>
            </w:r>
            <w:r w:rsidR="00424C9E">
              <w:t xml:space="preserve"> with respect to </w:t>
            </w:r>
            <w:r w:rsidR="006F0E21">
              <w:t>a</w:t>
            </w:r>
            <w:r w:rsidR="00214F67">
              <w:t>n</w:t>
            </w:r>
            <w:r w:rsidR="006F0E21">
              <w:t xml:space="preserve"> </w:t>
            </w:r>
            <w:r w:rsidR="00424C9E">
              <w:t xml:space="preserve">examination of a holding company and </w:t>
            </w:r>
            <w:r w:rsidR="0014598E">
              <w:t xml:space="preserve">each of </w:t>
            </w:r>
            <w:r w:rsidR="00424C9E">
              <w:t>its subsidiaries:</w:t>
            </w:r>
          </w:p>
          <w:p w14:paraId="6F45C6BA" w14:textId="512BA6C1" w:rsidR="00424C9E" w:rsidRDefault="00576FB0" w:rsidP="00AF4E3F">
            <w:pPr>
              <w:pStyle w:val="Header"/>
              <w:numPr>
                <w:ilvl w:val="0"/>
                <w:numId w:val="3"/>
              </w:numPr>
              <w:jc w:val="both"/>
            </w:pPr>
            <w:r>
              <w:t>examine a holding company that controls a state savings bank to the same extent as if the company were a state savings bank; and</w:t>
            </w:r>
          </w:p>
          <w:p w14:paraId="4492FC0B" w14:textId="63C368FB" w:rsidR="00424C9E" w:rsidRDefault="00576FB0" w:rsidP="00AF4E3F">
            <w:pPr>
              <w:pStyle w:val="Header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jc w:val="both"/>
            </w:pPr>
            <w:r>
              <w:t>bri</w:t>
            </w:r>
            <w:r>
              <w:t>ng an enforcement action</w:t>
            </w:r>
            <w:r w:rsidR="0014598E">
              <w:t xml:space="preserve"> under the applicable Finance Code provisions</w:t>
            </w:r>
            <w:r>
              <w:t xml:space="preserve"> against a holding company that controls a state savings bank or against another person that violates or participates in a violation of the Texas Savings Bank Act</w:t>
            </w:r>
            <w:r w:rsidR="006F0E21">
              <w:t>, certain agreements</w:t>
            </w:r>
            <w:r w:rsidR="0014598E">
              <w:t xml:space="preserve"> filed with the commissioner</w:t>
            </w:r>
            <w:r w:rsidR="006F0E21">
              <w:t xml:space="preserve">, </w:t>
            </w:r>
            <w:r w:rsidR="0014598E">
              <w:t xml:space="preserve">a </w:t>
            </w:r>
            <w:r w:rsidR="006F0E21">
              <w:t xml:space="preserve">Finance Commission of Texas rule, or </w:t>
            </w:r>
            <w:r w:rsidR="0014598E">
              <w:t xml:space="preserve">an </w:t>
            </w:r>
            <w:r w:rsidR="006F0E21">
              <w:t>order issued by the commissioner under the act</w:t>
            </w:r>
            <w:r>
              <w:t>, as if the holding company were a state savings bank.</w:t>
            </w:r>
          </w:p>
          <w:p w14:paraId="18D8DAEE" w14:textId="7AF711E6" w:rsidR="00424C9E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The bill </w:t>
            </w:r>
            <w:r w:rsidR="0014598E">
              <w:t>provides for</w:t>
            </w:r>
            <w:r>
              <w:t xml:space="preserve"> the applicability of the grounds, procedures, and effects of such </w:t>
            </w:r>
            <w:r>
              <w:t xml:space="preserve">an enforcement action </w:t>
            </w:r>
            <w:r w:rsidR="001C72E6">
              <w:t xml:space="preserve">to </w:t>
            </w:r>
            <w:r w:rsidR="0014598E">
              <w:t>a holding company and its officers, directors, employees</w:t>
            </w:r>
            <w:r w:rsidR="00B05AD4">
              <w:t>,</w:t>
            </w:r>
            <w:r w:rsidR="0014598E">
              <w:t xml:space="preserve"> or certain shareholders</w:t>
            </w:r>
            <w:r w:rsidR="001B184B">
              <w:t xml:space="preserve"> or other affiliated individuals in the same manner as they apply to a state savings bank and those persons with respect to a state savings bank</w:t>
            </w:r>
            <w:r w:rsidR="001C72E6" w:rsidRPr="001C72E6">
              <w:t>.</w:t>
            </w:r>
            <w:r w:rsidR="001C72E6">
              <w:t xml:space="preserve"> The bill subjects a </w:t>
            </w:r>
            <w:r w:rsidR="001C72E6" w:rsidRPr="001C72E6">
              <w:t xml:space="preserve">state savings bank that is controlled by a holding company that is not a Texas holding company to all </w:t>
            </w:r>
            <w:r w:rsidR="00560171">
              <w:t xml:space="preserve">state </w:t>
            </w:r>
            <w:r w:rsidR="001C72E6" w:rsidRPr="001C72E6">
              <w:t>laws that are applicable to state savings banks that are controlled by Texas holding companies.</w:t>
            </w:r>
          </w:p>
          <w:p w14:paraId="3FFA10EE" w14:textId="3D657535" w:rsidR="001C72E6" w:rsidRDefault="001C72E6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6EC23BBB" w14:textId="3CCB8DCA" w:rsidR="001C72E6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1900 removes </w:t>
            </w:r>
            <w:r w:rsidR="00560171">
              <w:t xml:space="preserve">the </w:t>
            </w:r>
            <w:r>
              <w:t>requirement for an applicant</w:t>
            </w:r>
            <w:r w:rsidR="00560171">
              <w:t xml:space="preserve"> for </w:t>
            </w:r>
            <w:r>
              <w:t xml:space="preserve">a </w:t>
            </w:r>
            <w:r w:rsidR="00560171">
              <w:t xml:space="preserve">residential </w:t>
            </w:r>
            <w:r>
              <w:t>mortgage</w:t>
            </w:r>
            <w:r w:rsidR="00560171">
              <w:t xml:space="preserve"> loan</w:t>
            </w:r>
            <w:r>
              <w:t xml:space="preserve"> company license or a credit union subsidiary organization license</w:t>
            </w:r>
            <w:r w:rsidR="00560171">
              <w:t xml:space="preserve"> to maintain a physical office in Texas</w:t>
            </w:r>
            <w:r w:rsidR="00010112">
              <w:t xml:space="preserve"> and</w:t>
            </w:r>
            <w:r w:rsidR="00FF6085">
              <w:t xml:space="preserve"> repeals the requirement for a residential mortgage loan company to maintain a physical office in Texas</w:t>
            </w:r>
            <w:r w:rsidR="007A6BA3">
              <w:t>.</w:t>
            </w:r>
          </w:p>
          <w:p w14:paraId="4C2D7B5F" w14:textId="77777777" w:rsidR="001C72E6" w:rsidRDefault="001C72E6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27C14CC1" w14:textId="07A9B336" w:rsidR="001C72E6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C.S.S.B. 1900 </w:t>
            </w:r>
            <w:r w:rsidR="00927B67">
              <w:t xml:space="preserve">changes the manner by which amounts in the recovery fund </w:t>
            </w:r>
            <w:r w:rsidR="00B2606D">
              <w:t xml:space="preserve">established </w:t>
            </w:r>
            <w:r w:rsidR="00010112">
              <w:t>for reimbursement of residential mortgage loan applicants for certain acts committed by licensed loan originators</w:t>
            </w:r>
            <w:r w:rsidR="00FF6085" w:rsidRPr="00FF6085">
              <w:t xml:space="preserve"> </w:t>
            </w:r>
            <w:r w:rsidR="00927B67">
              <w:t>may be invested and reinvested from in the same manner as funds of the Employees Retirement System of Texas to in accordance with the Public Funds Investment Act and</w:t>
            </w:r>
            <w:r w:rsidR="00B86703">
              <w:t xml:space="preserve"> under</w:t>
            </w:r>
            <w:r w:rsidR="00927B67">
              <w:t xml:space="preserve"> the prudent person standard described by the Texas Constitution. </w:t>
            </w:r>
            <w:r w:rsidR="00FF6085">
              <w:t xml:space="preserve">The bill repeals provisions </w:t>
            </w:r>
            <w:r w:rsidR="00B86703">
              <w:t>authorizing the</w:t>
            </w:r>
            <w:r w:rsidR="00FF6085">
              <w:t xml:space="preserve"> </w:t>
            </w:r>
            <w:r w:rsidR="00B86703">
              <w:t xml:space="preserve">commissioner to </w:t>
            </w:r>
            <w:r w:rsidR="00FF6085">
              <w:t>use</w:t>
            </w:r>
            <w:r w:rsidR="00B86703">
              <w:t xml:space="preserve"> the fund for</w:t>
            </w:r>
            <w:r w:rsidR="00FF6085">
              <w:t xml:space="preserve"> reimbursement </w:t>
            </w:r>
            <w:r w:rsidR="00B86703">
              <w:t>of expenses incurred to secure and destroy abandoned loan documents</w:t>
            </w:r>
            <w:r w:rsidR="00FB4D05">
              <w:t>,</w:t>
            </w:r>
            <w:r w:rsidR="00FF6085">
              <w:t xml:space="preserve"> </w:t>
            </w:r>
            <w:r w:rsidR="00B86703">
              <w:t xml:space="preserve">entitling the commissioner to reimbursement for certain costs and expenses </w:t>
            </w:r>
            <w:r w:rsidR="009F4F64">
              <w:t xml:space="preserve">incurred </w:t>
            </w:r>
            <w:r w:rsidR="00B86703">
              <w:t>in managing the fund</w:t>
            </w:r>
            <w:r w:rsidR="00FB4D05">
              <w:t xml:space="preserve">, and authorizing the commissioner </w:t>
            </w:r>
            <w:r w:rsidR="00FF6085">
              <w:t>to use a surplus balance of the fund for offsetting certain expenses relating to the Nationwide Mortgage Licensing System and Registry.</w:t>
            </w:r>
          </w:p>
          <w:p w14:paraId="5E894FCA" w14:textId="43D2AE64" w:rsidR="001C72E6" w:rsidRDefault="001C72E6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14:paraId="4352D827" w14:textId="2E0310F4" w:rsidR="001C72E6" w:rsidRDefault="00576FB0" w:rsidP="00AF4E3F">
            <w:pPr>
              <w:pStyle w:val="Header"/>
              <w:jc w:val="both"/>
            </w:pPr>
            <w:r>
              <w:t>C.S.S.B. 1900 repeals the following provisions of the Finance Code:</w:t>
            </w:r>
          </w:p>
          <w:p w14:paraId="52357DA3" w14:textId="77777777" w:rsidR="001C72E6" w:rsidRDefault="00576FB0" w:rsidP="00AF4E3F">
            <w:pPr>
              <w:pStyle w:val="Header"/>
              <w:numPr>
                <w:ilvl w:val="0"/>
                <w:numId w:val="5"/>
              </w:numPr>
              <w:jc w:val="both"/>
            </w:pPr>
            <w:r>
              <w:t>Sections 156.212(a) and (a-1);</w:t>
            </w:r>
          </w:p>
          <w:p w14:paraId="207E2F05" w14:textId="77777777" w:rsidR="001C72E6" w:rsidRDefault="00576FB0" w:rsidP="00AF4E3F">
            <w:pPr>
              <w:pStyle w:val="Header"/>
              <w:numPr>
                <w:ilvl w:val="0"/>
                <w:numId w:val="5"/>
              </w:numPr>
              <w:jc w:val="both"/>
            </w:pPr>
            <w:r>
              <w:t>Sections 156.501(d) a</w:t>
            </w:r>
            <w:r>
              <w:t>nd (f); and</w:t>
            </w:r>
          </w:p>
          <w:p w14:paraId="784E37B6" w14:textId="0D76C55D" w:rsidR="001C72E6" w:rsidRPr="009C36CD" w:rsidRDefault="00576FB0" w:rsidP="00AF4E3F">
            <w:pPr>
              <w:pStyle w:val="Header"/>
              <w:numPr>
                <w:ilvl w:val="0"/>
                <w:numId w:val="5"/>
              </w:numPr>
              <w:jc w:val="both"/>
            </w:pPr>
            <w:r>
              <w:t>Section 156.502(b).</w:t>
            </w:r>
          </w:p>
          <w:p w14:paraId="58A3A3BE" w14:textId="77777777" w:rsidR="008423E4" w:rsidRPr="00835628" w:rsidRDefault="008423E4" w:rsidP="00AF4E3F">
            <w:pPr>
              <w:rPr>
                <w:b/>
              </w:rPr>
            </w:pPr>
          </w:p>
        </w:tc>
      </w:tr>
      <w:tr w:rsidR="002511F4" w14:paraId="0C6C6DE2" w14:textId="77777777" w:rsidTr="00345119">
        <w:tc>
          <w:tcPr>
            <w:tcW w:w="9576" w:type="dxa"/>
          </w:tcPr>
          <w:p w14:paraId="21B5A35F" w14:textId="77777777" w:rsidR="008423E4" w:rsidRPr="00A8133F" w:rsidRDefault="00576FB0" w:rsidP="00AF4E3F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14:paraId="50493586" w14:textId="77777777" w:rsidR="008423E4" w:rsidRDefault="008423E4" w:rsidP="00AF4E3F"/>
          <w:p w14:paraId="2397307F" w14:textId="1EDF1C3E" w:rsidR="008423E4" w:rsidRPr="003624F2" w:rsidRDefault="00576FB0" w:rsidP="00AF4E3F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September 1, 2021.</w:t>
            </w:r>
          </w:p>
          <w:p w14:paraId="7A2C314E" w14:textId="77777777" w:rsidR="008423E4" w:rsidRPr="00233FDB" w:rsidRDefault="008423E4" w:rsidP="00AF4E3F">
            <w:pPr>
              <w:rPr>
                <w:b/>
              </w:rPr>
            </w:pPr>
          </w:p>
        </w:tc>
      </w:tr>
      <w:tr w:rsidR="002511F4" w14:paraId="725CD8B2" w14:textId="77777777" w:rsidTr="00345119">
        <w:tc>
          <w:tcPr>
            <w:tcW w:w="9576" w:type="dxa"/>
          </w:tcPr>
          <w:p w14:paraId="36C023FC" w14:textId="77777777" w:rsidR="003D1410" w:rsidRDefault="00576FB0" w:rsidP="00AF4E3F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>COMPARISON OF SENATE ENGROSSED AND SUBSTITUTE</w:t>
            </w:r>
          </w:p>
          <w:p w14:paraId="656FDFD7" w14:textId="77777777" w:rsidR="00B919AE" w:rsidRDefault="00B919AE" w:rsidP="00AF4E3F">
            <w:pPr>
              <w:jc w:val="both"/>
            </w:pPr>
          </w:p>
          <w:p w14:paraId="4983AE98" w14:textId="7D6A3C0F" w:rsidR="00B919AE" w:rsidRDefault="00576FB0" w:rsidP="00AF4E3F">
            <w:pPr>
              <w:jc w:val="both"/>
            </w:pPr>
            <w:r>
              <w:t xml:space="preserve">While C.S.S.B. 1900 may differ from the engrossed in minor or nonsubstantive ways, the following summarizes the substantial differences </w:t>
            </w:r>
            <w:r>
              <w:t>between the engrossed and committee substitute versions of the bill.</w:t>
            </w:r>
          </w:p>
          <w:p w14:paraId="6F8EFB64" w14:textId="18C85294" w:rsidR="00B919AE" w:rsidRDefault="00B919AE" w:rsidP="00AF4E3F">
            <w:pPr>
              <w:jc w:val="both"/>
            </w:pPr>
          </w:p>
          <w:p w14:paraId="5814A3BF" w14:textId="7B63E515" w:rsidR="00B919AE" w:rsidRDefault="00576FB0" w:rsidP="00AF4E3F">
            <w:pPr>
              <w:jc w:val="both"/>
            </w:pPr>
            <w:r>
              <w:t>Whereas t</w:t>
            </w:r>
            <w:r w:rsidR="00FB28CF">
              <w:t xml:space="preserve">he </w:t>
            </w:r>
            <w:r w:rsidR="007A6BA3">
              <w:t>engrossed</w:t>
            </w:r>
            <w:r w:rsidR="00FB28CF">
              <w:t xml:space="preserve"> established that a state savings bank affiliate</w:t>
            </w:r>
            <w:r w:rsidR="00726F83">
              <w:t>,</w:t>
            </w:r>
            <w:r w:rsidR="00FB28CF">
              <w:t xml:space="preserve"> </w:t>
            </w:r>
            <w:r w:rsidR="00726F83">
              <w:t xml:space="preserve">for purposes of the bill's provisions on the regulation and examination of certain related entities, </w:t>
            </w:r>
            <w:r w:rsidR="00FB28CF">
              <w:t>does not include a company in which ownership or membership is limited to individuals and conditioned by law on the existence and maintenance of professional licensing, the substitute establishes that a third</w:t>
            </w:r>
            <w:r w:rsidR="00E26E41">
              <w:noBreakHyphen/>
            </w:r>
            <w:r w:rsidR="00FB28CF">
              <w:t>party service provider or state savings bank affiliate does not include for those purposes a company or firm in which ownership or membership is so limited and conditioned</w:t>
            </w:r>
            <w:r w:rsidR="0069364E">
              <w:t>.</w:t>
            </w:r>
          </w:p>
          <w:p w14:paraId="14CC0E79" w14:textId="54F13632" w:rsidR="00B919AE" w:rsidRDefault="00B919AE" w:rsidP="00AF4E3F">
            <w:pPr>
              <w:jc w:val="both"/>
            </w:pPr>
          </w:p>
          <w:p w14:paraId="44B8FB8C" w14:textId="77777777" w:rsidR="00B919AE" w:rsidRDefault="00B919AE" w:rsidP="00AF4E3F">
            <w:pPr>
              <w:jc w:val="both"/>
            </w:pPr>
          </w:p>
          <w:p w14:paraId="04314CD2" w14:textId="25DB1EBC" w:rsidR="00B919AE" w:rsidRPr="00B919AE" w:rsidRDefault="00B919AE" w:rsidP="00AF4E3F">
            <w:pPr>
              <w:jc w:val="both"/>
            </w:pPr>
          </w:p>
        </w:tc>
      </w:tr>
      <w:tr w:rsidR="002511F4" w14:paraId="598E950E" w14:textId="77777777" w:rsidTr="00345119">
        <w:tc>
          <w:tcPr>
            <w:tcW w:w="9576" w:type="dxa"/>
          </w:tcPr>
          <w:p w14:paraId="6EF21EA5" w14:textId="77777777" w:rsidR="003D1410" w:rsidRPr="009C1E9A" w:rsidRDefault="003D1410" w:rsidP="00AF4E3F">
            <w:pPr>
              <w:rPr>
                <w:b/>
                <w:u w:val="single"/>
              </w:rPr>
            </w:pPr>
          </w:p>
        </w:tc>
      </w:tr>
      <w:tr w:rsidR="002511F4" w14:paraId="66F442FA" w14:textId="77777777" w:rsidTr="00345119">
        <w:tc>
          <w:tcPr>
            <w:tcW w:w="9576" w:type="dxa"/>
          </w:tcPr>
          <w:p w14:paraId="4DF91054" w14:textId="77777777" w:rsidR="003D1410" w:rsidRPr="003D1410" w:rsidRDefault="003D1410" w:rsidP="00AF4E3F">
            <w:pPr>
              <w:jc w:val="both"/>
            </w:pPr>
          </w:p>
        </w:tc>
      </w:tr>
    </w:tbl>
    <w:p w14:paraId="43BA5034" w14:textId="77777777" w:rsidR="008423E4" w:rsidRPr="00BE0E75" w:rsidRDefault="008423E4" w:rsidP="00AF4E3F">
      <w:pPr>
        <w:jc w:val="both"/>
        <w:rPr>
          <w:rFonts w:ascii="Arial" w:hAnsi="Arial"/>
          <w:sz w:val="16"/>
          <w:szCs w:val="16"/>
        </w:rPr>
      </w:pPr>
    </w:p>
    <w:p w14:paraId="5DA3BD7F" w14:textId="77777777" w:rsidR="004108C3" w:rsidRPr="008423E4" w:rsidRDefault="004108C3" w:rsidP="00AF4E3F"/>
    <w:sectPr w:rsidR="004108C3" w:rsidRPr="008423E4" w:rsidSect="006D50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948FE" w14:textId="77777777" w:rsidR="00000000" w:rsidRDefault="00576FB0">
      <w:r>
        <w:separator/>
      </w:r>
    </w:p>
  </w:endnote>
  <w:endnote w:type="continuationSeparator" w:id="0">
    <w:p w14:paraId="0EA1FAC1" w14:textId="77777777" w:rsidR="00000000" w:rsidRDefault="00576F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F88F68" w14:textId="77777777" w:rsidR="00EC379B" w:rsidRDefault="00EC3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2511F4" w14:paraId="31865DCA" w14:textId="77777777" w:rsidTr="009C1E9A">
      <w:trPr>
        <w:cantSplit/>
      </w:trPr>
      <w:tc>
        <w:tcPr>
          <w:tcW w:w="0" w:type="pct"/>
        </w:tcPr>
        <w:p w14:paraId="39F8FC12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1FEB1FE0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A3285FB" w14:textId="77777777" w:rsidR="001A4310" w:rsidRDefault="001A4310" w:rsidP="009C1E9A">
          <w:pPr>
            <w:pStyle w:val="Footer"/>
            <w:tabs>
              <w:tab w:val="clear" w:pos="8640"/>
              <w:tab w:val="right" w:pos="9360"/>
            </w:tabs>
          </w:pPr>
        </w:p>
        <w:p w14:paraId="1F4AAB1A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14:paraId="0E92D1C6" w14:textId="77777777" w:rsidR="00137D90" w:rsidRDefault="00137D9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11F4" w14:paraId="1A79B537" w14:textId="77777777" w:rsidTr="009C1E9A">
      <w:trPr>
        <w:cantSplit/>
      </w:trPr>
      <w:tc>
        <w:tcPr>
          <w:tcW w:w="0" w:type="pct"/>
        </w:tcPr>
        <w:p w14:paraId="0AC8E574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14:paraId="5817492A" w14:textId="77777777" w:rsidR="00EC379B" w:rsidRPr="009C1E9A" w:rsidRDefault="00576FB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87R 22802</w:t>
          </w:r>
        </w:p>
      </w:tc>
      <w:tc>
        <w:tcPr>
          <w:tcW w:w="2453" w:type="pct"/>
        </w:tcPr>
        <w:p w14:paraId="105EA8AD" w14:textId="1DE1556B" w:rsidR="00EC379B" w:rsidRDefault="00576FB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 w:rsidR="00782E21">
            <w:t>21.118.1489</w:t>
          </w:r>
          <w:r>
            <w:fldChar w:fldCharType="end"/>
          </w:r>
        </w:p>
      </w:tc>
    </w:tr>
    <w:tr w:rsidR="002511F4" w14:paraId="57B8B1C0" w14:textId="77777777" w:rsidTr="009C1E9A">
      <w:trPr>
        <w:cantSplit/>
      </w:trPr>
      <w:tc>
        <w:tcPr>
          <w:tcW w:w="0" w:type="pct"/>
        </w:tcPr>
        <w:p w14:paraId="4A29B394" w14:textId="77777777" w:rsidR="00EC379B" w:rsidRDefault="00EC379B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14:paraId="3CDB223D" w14:textId="77777777" w:rsidR="00EC379B" w:rsidRPr="009C1E9A" w:rsidRDefault="00576FB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87R 20288</w:t>
          </w:r>
        </w:p>
      </w:tc>
      <w:tc>
        <w:tcPr>
          <w:tcW w:w="2453" w:type="pct"/>
        </w:tcPr>
        <w:p w14:paraId="3DBD4019" w14:textId="77777777" w:rsidR="00EC379B" w:rsidRDefault="00EC379B" w:rsidP="006D504F">
          <w:pPr>
            <w:pStyle w:val="Footer"/>
            <w:rPr>
              <w:rStyle w:val="PageNumber"/>
            </w:rPr>
          </w:pPr>
        </w:p>
        <w:p w14:paraId="2050D2EE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2511F4" w14:paraId="2AD90DDA" w14:textId="77777777" w:rsidTr="009C1E9A">
      <w:trPr>
        <w:cantSplit/>
        <w:trHeight w:val="323"/>
      </w:trPr>
      <w:tc>
        <w:tcPr>
          <w:tcW w:w="0" w:type="pct"/>
          <w:gridSpan w:val="3"/>
        </w:tcPr>
        <w:p w14:paraId="638802EA" w14:textId="001B63C5" w:rsidR="00EC379B" w:rsidRDefault="00576FB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 w:rsidR="00AF4E3F">
            <w:rPr>
              <w:rStyle w:val="PageNumber"/>
              <w:noProof/>
            </w:rPr>
            <w:t>3</w:t>
          </w:r>
          <w:r>
            <w:rPr>
              <w:rStyle w:val="PageNumber"/>
            </w:rPr>
            <w:fldChar w:fldCharType="end"/>
          </w:r>
        </w:p>
        <w:p w14:paraId="73E4C7FC" w14:textId="77777777" w:rsidR="00EC379B" w:rsidRDefault="00EC379B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14:paraId="63F52F0C" w14:textId="77777777" w:rsidR="00EC379B" w:rsidRPr="00FF6F72" w:rsidRDefault="00EC379B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79513F" w14:textId="77777777" w:rsidR="00EC379B" w:rsidRDefault="00EC3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828E79" w14:textId="77777777" w:rsidR="00000000" w:rsidRDefault="00576FB0">
      <w:r>
        <w:separator/>
      </w:r>
    </w:p>
  </w:footnote>
  <w:footnote w:type="continuationSeparator" w:id="0">
    <w:p w14:paraId="6F957712" w14:textId="77777777" w:rsidR="00000000" w:rsidRDefault="00576F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3859B" w14:textId="77777777" w:rsidR="00EC379B" w:rsidRDefault="00EC3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D96E1" w14:textId="77777777" w:rsidR="00EC379B" w:rsidRDefault="00EC3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32CCF" w14:textId="77777777" w:rsidR="00EC379B" w:rsidRDefault="00EC3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5069"/>
    <w:multiLevelType w:val="hybridMultilevel"/>
    <w:tmpl w:val="16725630"/>
    <w:lvl w:ilvl="0" w:tplc="47169B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83CD25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3E811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152CEF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CA24D5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5D8462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222185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90CFAF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460E2A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051C4"/>
    <w:multiLevelType w:val="hybridMultilevel"/>
    <w:tmpl w:val="10B66354"/>
    <w:lvl w:ilvl="0" w:tplc="EAFC4A9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ECA1FF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DB466F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2D6ECA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FB2208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AC2E23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58E4E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D829D5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3383F8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E94767"/>
    <w:multiLevelType w:val="hybridMultilevel"/>
    <w:tmpl w:val="12B8A090"/>
    <w:lvl w:ilvl="0" w:tplc="94589A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94D75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79CED3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A4CDCF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6AC922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BDCA5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81D0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66F02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510827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E96"/>
    <w:multiLevelType w:val="hybridMultilevel"/>
    <w:tmpl w:val="CFB60E5A"/>
    <w:lvl w:ilvl="0" w:tplc="B3CC101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D6253B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418EDA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6C02C8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A5AD8F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5AEF52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50EB18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7F0F39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EC8C45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FB15C1"/>
    <w:multiLevelType w:val="hybridMultilevel"/>
    <w:tmpl w:val="6A6E7FB0"/>
    <w:lvl w:ilvl="0" w:tplc="A1FA765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D88D3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14A71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40CA49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A17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D67DC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12859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5C8047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92B3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3A5DDE"/>
    <w:multiLevelType w:val="hybridMultilevel"/>
    <w:tmpl w:val="A55E9BD6"/>
    <w:lvl w:ilvl="0" w:tplc="3866EA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46C7DF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F2664C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28B6C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3AAF4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A969E7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8DE465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510A39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B20C54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A02358"/>
    <w:multiLevelType w:val="hybridMultilevel"/>
    <w:tmpl w:val="2514F95E"/>
    <w:lvl w:ilvl="0" w:tplc="933260D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D40988A" w:tentative="1">
      <w:start w:val="1"/>
      <w:numFmt w:val="lowerLetter"/>
      <w:lvlText w:val="%2."/>
      <w:lvlJc w:val="left"/>
      <w:pPr>
        <w:ind w:left="1440" w:hanging="360"/>
      </w:pPr>
    </w:lvl>
    <w:lvl w:ilvl="2" w:tplc="782EE59A" w:tentative="1">
      <w:start w:val="1"/>
      <w:numFmt w:val="lowerRoman"/>
      <w:lvlText w:val="%3."/>
      <w:lvlJc w:val="right"/>
      <w:pPr>
        <w:ind w:left="2160" w:hanging="180"/>
      </w:pPr>
    </w:lvl>
    <w:lvl w:ilvl="3" w:tplc="F6468FBE" w:tentative="1">
      <w:start w:val="1"/>
      <w:numFmt w:val="decimal"/>
      <w:lvlText w:val="%4."/>
      <w:lvlJc w:val="left"/>
      <w:pPr>
        <w:ind w:left="2880" w:hanging="360"/>
      </w:pPr>
    </w:lvl>
    <w:lvl w:ilvl="4" w:tplc="DD943896" w:tentative="1">
      <w:start w:val="1"/>
      <w:numFmt w:val="lowerLetter"/>
      <w:lvlText w:val="%5."/>
      <w:lvlJc w:val="left"/>
      <w:pPr>
        <w:ind w:left="3600" w:hanging="360"/>
      </w:pPr>
    </w:lvl>
    <w:lvl w:ilvl="5" w:tplc="60761668" w:tentative="1">
      <w:start w:val="1"/>
      <w:numFmt w:val="lowerRoman"/>
      <w:lvlText w:val="%6."/>
      <w:lvlJc w:val="right"/>
      <w:pPr>
        <w:ind w:left="4320" w:hanging="180"/>
      </w:pPr>
    </w:lvl>
    <w:lvl w:ilvl="6" w:tplc="F11EBB34" w:tentative="1">
      <w:start w:val="1"/>
      <w:numFmt w:val="decimal"/>
      <w:lvlText w:val="%7."/>
      <w:lvlJc w:val="left"/>
      <w:pPr>
        <w:ind w:left="5040" w:hanging="360"/>
      </w:pPr>
    </w:lvl>
    <w:lvl w:ilvl="7" w:tplc="71788A2A" w:tentative="1">
      <w:start w:val="1"/>
      <w:numFmt w:val="lowerLetter"/>
      <w:lvlText w:val="%8."/>
      <w:lvlJc w:val="left"/>
      <w:pPr>
        <w:ind w:left="5760" w:hanging="360"/>
      </w:pPr>
    </w:lvl>
    <w:lvl w:ilvl="8" w:tplc="16066A5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410"/>
    <w:rsid w:val="00000A70"/>
    <w:rsid w:val="000032B8"/>
    <w:rsid w:val="00003B06"/>
    <w:rsid w:val="000054B9"/>
    <w:rsid w:val="00007461"/>
    <w:rsid w:val="00010112"/>
    <w:rsid w:val="0001117E"/>
    <w:rsid w:val="0001125F"/>
    <w:rsid w:val="0001338E"/>
    <w:rsid w:val="00013D24"/>
    <w:rsid w:val="00014AF0"/>
    <w:rsid w:val="000155D6"/>
    <w:rsid w:val="00015D4E"/>
    <w:rsid w:val="00020C1E"/>
    <w:rsid w:val="00020E9B"/>
    <w:rsid w:val="000236C1"/>
    <w:rsid w:val="000236EC"/>
    <w:rsid w:val="0002413D"/>
    <w:rsid w:val="000249F2"/>
    <w:rsid w:val="00027E81"/>
    <w:rsid w:val="00030AD8"/>
    <w:rsid w:val="0003107A"/>
    <w:rsid w:val="00031C95"/>
    <w:rsid w:val="000330D4"/>
    <w:rsid w:val="0003572D"/>
    <w:rsid w:val="00035DB0"/>
    <w:rsid w:val="00037088"/>
    <w:rsid w:val="000400D5"/>
    <w:rsid w:val="00043B84"/>
    <w:rsid w:val="0004512B"/>
    <w:rsid w:val="000463F0"/>
    <w:rsid w:val="00046BDA"/>
    <w:rsid w:val="0004762E"/>
    <w:rsid w:val="000532BD"/>
    <w:rsid w:val="00055C12"/>
    <w:rsid w:val="000608B0"/>
    <w:rsid w:val="0006104C"/>
    <w:rsid w:val="00064BF2"/>
    <w:rsid w:val="000667BA"/>
    <w:rsid w:val="000676A7"/>
    <w:rsid w:val="00073914"/>
    <w:rsid w:val="00074236"/>
    <w:rsid w:val="000746BD"/>
    <w:rsid w:val="00076D7D"/>
    <w:rsid w:val="00080D95"/>
    <w:rsid w:val="00090E6B"/>
    <w:rsid w:val="00091B2C"/>
    <w:rsid w:val="00092ABC"/>
    <w:rsid w:val="00097AAF"/>
    <w:rsid w:val="00097D13"/>
    <w:rsid w:val="000A4893"/>
    <w:rsid w:val="000A54E0"/>
    <w:rsid w:val="000A72C4"/>
    <w:rsid w:val="000B1486"/>
    <w:rsid w:val="000B3E61"/>
    <w:rsid w:val="000B54AF"/>
    <w:rsid w:val="000B6090"/>
    <w:rsid w:val="000B6FEE"/>
    <w:rsid w:val="000C12C4"/>
    <w:rsid w:val="000C49DA"/>
    <w:rsid w:val="000C4B3D"/>
    <w:rsid w:val="000C6DC1"/>
    <w:rsid w:val="000C6E20"/>
    <w:rsid w:val="000C76D7"/>
    <w:rsid w:val="000C7F1D"/>
    <w:rsid w:val="000D2EBA"/>
    <w:rsid w:val="000D32A1"/>
    <w:rsid w:val="000D3725"/>
    <w:rsid w:val="000D46E5"/>
    <w:rsid w:val="000D769C"/>
    <w:rsid w:val="000E1976"/>
    <w:rsid w:val="000E20F1"/>
    <w:rsid w:val="000E5B20"/>
    <w:rsid w:val="000E7C14"/>
    <w:rsid w:val="000F094C"/>
    <w:rsid w:val="000F18A2"/>
    <w:rsid w:val="000F2A7F"/>
    <w:rsid w:val="000F3DBD"/>
    <w:rsid w:val="000F5843"/>
    <w:rsid w:val="000F6A06"/>
    <w:rsid w:val="0010154D"/>
    <w:rsid w:val="00102D3F"/>
    <w:rsid w:val="00102EC7"/>
    <w:rsid w:val="0010347D"/>
    <w:rsid w:val="00110F8C"/>
    <w:rsid w:val="0011274A"/>
    <w:rsid w:val="00113522"/>
    <w:rsid w:val="0011378D"/>
    <w:rsid w:val="00115EE9"/>
    <w:rsid w:val="001169F9"/>
    <w:rsid w:val="00120797"/>
    <w:rsid w:val="0012371B"/>
    <w:rsid w:val="001245C8"/>
    <w:rsid w:val="00124653"/>
    <w:rsid w:val="001247C5"/>
    <w:rsid w:val="00127893"/>
    <w:rsid w:val="001312BB"/>
    <w:rsid w:val="00137D90"/>
    <w:rsid w:val="00141FB6"/>
    <w:rsid w:val="00142F8E"/>
    <w:rsid w:val="00143C8B"/>
    <w:rsid w:val="0014598E"/>
    <w:rsid w:val="00147530"/>
    <w:rsid w:val="0015331F"/>
    <w:rsid w:val="00156AB2"/>
    <w:rsid w:val="00160402"/>
    <w:rsid w:val="00160571"/>
    <w:rsid w:val="00161E93"/>
    <w:rsid w:val="00162C7A"/>
    <w:rsid w:val="00162DAE"/>
    <w:rsid w:val="001639C5"/>
    <w:rsid w:val="00163E45"/>
    <w:rsid w:val="001664C2"/>
    <w:rsid w:val="00171BF2"/>
    <w:rsid w:val="0017347B"/>
    <w:rsid w:val="0017725B"/>
    <w:rsid w:val="0018050C"/>
    <w:rsid w:val="0018117F"/>
    <w:rsid w:val="001824ED"/>
    <w:rsid w:val="00183262"/>
    <w:rsid w:val="00184B03"/>
    <w:rsid w:val="00185C59"/>
    <w:rsid w:val="00187C1B"/>
    <w:rsid w:val="001908AC"/>
    <w:rsid w:val="00190CFB"/>
    <w:rsid w:val="0019457A"/>
    <w:rsid w:val="00195257"/>
    <w:rsid w:val="00195388"/>
    <w:rsid w:val="0019539E"/>
    <w:rsid w:val="001968BC"/>
    <w:rsid w:val="001A0739"/>
    <w:rsid w:val="001A0F00"/>
    <w:rsid w:val="001A2BDD"/>
    <w:rsid w:val="001A3DDF"/>
    <w:rsid w:val="001A4310"/>
    <w:rsid w:val="001B053A"/>
    <w:rsid w:val="001B184B"/>
    <w:rsid w:val="001B26D8"/>
    <w:rsid w:val="001B3BFA"/>
    <w:rsid w:val="001B75B8"/>
    <w:rsid w:val="001C1230"/>
    <w:rsid w:val="001C60B5"/>
    <w:rsid w:val="001C61B0"/>
    <w:rsid w:val="001C72E6"/>
    <w:rsid w:val="001C7957"/>
    <w:rsid w:val="001C7DB8"/>
    <w:rsid w:val="001C7EA8"/>
    <w:rsid w:val="001D1711"/>
    <w:rsid w:val="001D2A01"/>
    <w:rsid w:val="001D2EF6"/>
    <w:rsid w:val="001D37A8"/>
    <w:rsid w:val="001D462E"/>
    <w:rsid w:val="001E2CAD"/>
    <w:rsid w:val="001E34DB"/>
    <w:rsid w:val="001E37CD"/>
    <w:rsid w:val="001E4070"/>
    <w:rsid w:val="001E655E"/>
    <w:rsid w:val="001F3CB8"/>
    <w:rsid w:val="001F6B91"/>
    <w:rsid w:val="001F703C"/>
    <w:rsid w:val="00200B9E"/>
    <w:rsid w:val="00200BF5"/>
    <w:rsid w:val="002010D1"/>
    <w:rsid w:val="00201338"/>
    <w:rsid w:val="0020775D"/>
    <w:rsid w:val="002116DD"/>
    <w:rsid w:val="0021383D"/>
    <w:rsid w:val="00214F67"/>
    <w:rsid w:val="00216BBA"/>
    <w:rsid w:val="00216C71"/>
    <w:rsid w:val="00216E12"/>
    <w:rsid w:val="00217466"/>
    <w:rsid w:val="0021751D"/>
    <w:rsid w:val="00217C49"/>
    <w:rsid w:val="0022177D"/>
    <w:rsid w:val="00224C37"/>
    <w:rsid w:val="002304DF"/>
    <w:rsid w:val="0023341D"/>
    <w:rsid w:val="002338DA"/>
    <w:rsid w:val="00233D66"/>
    <w:rsid w:val="00233FDB"/>
    <w:rsid w:val="00234F58"/>
    <w:rsid w:val="0023507D"/>
    <w:rsid w:val="0024077A"/>
    <w:rsid w:val="00241EC1"/>
    <w:rsid w:val="002431DA"/>
    <w:rsid w:val="0024691D"/>
    <w:rsid w:val="00247D27"/>
    <w:rsid w:val="00250A50"/>
    <w:rsid w:val="002511F4"/>
    <w:rsid w:val="00251ED5"/>
    <w:rsid w:val="00255EB6"/>
    <w:rsid w:val="00257429"/>
    <w:rsid w:val="00260FA4"/>
    <w:rsid w:val="00261183"/>
    <w:rsid w:val="00262A66"/>
    <w:rsid w:val="00263140"/>
    <w:rsid w:val="002631C8"/>
    <w:rsid w:val="00265133"/>
    <w:rsid w:val="00265A23"/>
    <w:rsid w:val="00267841"/>
    <w:rsid w:val="002710C3"/>
    <w:rsid w:val="002734D6"/>
    <w:rsid w:val="00274C45"/>
    <w:rsid w:val="00275109"/>
    <w:rsid w:val="00275BEE"/>
    <w:rsid w:val="00277434"/>
    <w:rsid w:val="00280123"/>
    <w:rsid w:val="00281343"/>
    <w:rsid w:val="00281883"/>
    <w:rsid w:val="002874E3"/>
    <w:rsid w:val="00287656"/>
    <w:rsid w:val="00291518"/>
    <w:rsid w:val="00296FF0"/>
    <w:rsid w:val="002A17C0"/>
    <w:rsid w:val="002A48DF"/>
    <w:rsid w:val="002A5A84"/>
    <w:rsid w:val="002A6E6F"/>
    <w:rsid w:val="002A74E4"/>
    <w:rsid w:val="002A7CFE"/>
    <w:rsid w:val="002B26DD"/>
    <w:rsid w:val="002B2870"/>
    <w:rsid w:val="002B391B"/>
    <w:rsid w:val="002B5B42"/>
    <w:rsid w:val="002B7BA7"/>
    <w:rsid w:val="002C1C17"/>
    <w:rsid w:val="002C3203"/>
    <w:rsid w:val="002C3B07"/>
    <w:rsid w:val="002C532B"/>
    <w:rsid w:val="002C5713"/>
    <w:rsid w:val="002D05CC"/>
    <w:rsid w:val="002D305A"/>
    <w:rsid w:val="002E21B8"/>
    <w:rsid w:val="002E7DF9"/>
    <w:rsid w:val="002F097B"/>
    <w:rsid w:val="002F3111"/>
    <w:rsid w:val="002F4AEC"/>
    <w:rsid w:val="002F795D"/>
    <w:rsid w:val="00300823"/>
    <w:rsid w:val="00300D7F"/>
    <w:rsid w:val="00301638"/>
    <w:rsid w:val="00303B0C"/>
    <w:rsid w:val="0030459C"/>
    <w:rsid w:val="00304887"/>
    <w:rsid w:val="0030624A"/>
    <w:rsid w:val="00313DFE"/>
    <w:rsid w:val="003143B2"/>
    <w:rsid w:val="00314821"/>
    <w:rsid w:val="0031483F"/>
    <w:rsid w:val="0031741B"/>
    <w:rsid w:val="00321337"/>
    <w:rsid w:val="00321F2F"/>
    <w:rsid w:val="003237F6"/>
    <w:rsid w:val="00324077"/>
    <w:rsid w:val="0032453B"/>
    <w:rsid w:val="00324868"/>
    <w:rsid w:val="003305F5"/>
    <w:rsid w:val="00333930"/>
    <w:rsid w:val="00334363"/>
    <w:rsid w:val="00336BA4"/>
    <w:rsid w:val="00336C7A"/>
    <w:rsid w:val="00337392"/>
    <w:rsid w:val="00337659"/>
    <w:rsid w:val="003427C9"/>
    <w:rsid w:val="00343A92"/>
    <w:rsid w:val="00344530"/>
    <w:rsid w:val="003446DC"/>
    <w:rsid w:val="00347B4A"/>
    <w:rsid w:val="003500C3"/>
    <w:rsid w:val="003523BD"/>
    <w:rsid w:val="00352681"/>
    <w:rsid w:val="003536AA"/>
    <w:rsid w:val="003544CE"/>
    <w:rsid w:val="00355A98"/>
    <w:rsid w:val="00355D7E"/>
    <w:rsid w:val="00357CA1"/>
    <w:rsid w:val="00361FE9"/>
    <w:rsid w:val="003624F2"/>
    <w:rsid w:val="00363854"/>
    <w:rsid w:val="00364315"/>
    <w:rsid w:val="003643E2"/>
    <w:rsid w:val="00364BC0"/>
    <w:rsid w:val="00370155"/>
    <w:rsid w:val="003712D5"/>
    <w:rsid w:val="003747DF"/>
    <w:rsid w:val="00377E3D"/>
    <w:rsid w:val="003847E8"/>
    <w:rsid w:val="0038731D"/>
    <w:rsid w:val="00387B60"/>
    <w:rsid w:val="00390098"/>
    <w:rsid w:val="00392DA1"/>
    <w:rsid w:val="00393718"/>
    <w:rsid w:val="003A0296"/>
    <w:rsid w:val="003A10BC"/>
    <w:rsid w:val="003B1501"/>
    <w:rsid w:val="003B185E"/>
    <w:rsid w:val="003B198A"/>
    <w:rsid w:val="003B1CA3"/>
    <w:rsid w:val="003B1ED9"/>
    <w:rsid w:val="003B2891"/>
    <w:rsid w:val="003B3DF3"/>
    <w:rsid w:val="003B48E2"/>
    <w:rsid w:val="003B4FA1"/>
    <w:rsid w:val="003B5BAD"/>
    <w:rsid w:val="003B66B6"/>
    <w:rsid w:val="003B7984"/>
    <w:rsid w:val="003B7AF6"/>
    <w:rsid w:val="003C0411"/>
    <w:rsid w:val="003C1871"/>
    <w:rsid w:val="003C1C55"/>
    <w:rsid w:val="003C25EA"/>
    <w:rsid w:val="003C36FD"/>
    <w:rsid w:val="003C664C"/>
    <w:rsid w:val="003D1410"/>
    <w:rsid w:val="003D726D"/>
    <w:rsid w:val="003E0875"/>
    <w:rsid w:val="003E0BB8"/>
    <w:rsid w:val="003E6CB0"/>
    <w:rsid w:val="003F1F5E"/>
    <w:rsid w:val="003F286A"/>
    <w:rsid w:val="003F77F8"/>
    <w:rsid w:val="00400ACD"/>
    <w:rsid w:val="00403B15"/>
    <w:rsid w:val="00403E8A"/>
    <w:rsid w:val="004101E4"/>
    <w:rsid w:val="00410661"/>
    <w:rsid w:val="004108C3"/>
    <w:rsid w:val="00410B33"/>
    <w:rsid w:val="004120CC"/>
    <w:rsid w:val="00412ED2"/>
    <w:rsid w:val="00412F0F"/>
    <w:rsid w:val="004134CE"/>
    <w:rsid w:val="004136A8"/>
    <w:rsid w:val="00415139"/>
    <w:rsid w:val="004166BB"/>
    <w:rsid w:val="004174CD"/>
    <w:rsid w:val="004241AA"/>
    <w:rsid w:val="0042422E"/>
    <w:rsid w:val="00424C9E"/>
    <w:rsid w:val="0043190E"/>
    <w:rsid w:val="004324E9"/>
    <w:rsid w:val="004350F3"/>
    <w:rsid w:val="00436980"/>
    <w:rsid w:val="00441016"/>
    <w:rsid w:val="00441F2F"/>
    <w:rsid w:val="0044228B"/>
    <w:rsid w:val="00447018"/>
    <w:rsid w:val="00450561"/>
    <w:rsid w:val="00450A40"/>
    <w:rsid w:val="00451D7C"/>
    <w:rsid w:val="00452FC3"/>
    <w:rsid w:val="00455936"/>
    <w:rsid w:val="00455ACE"/>
    <w:rsid w:val="00461B69"/>
    <w:rsid w:val="00462B3D"/>
    <w:rsid w:val="00474927"/>
    <w:rsid w:val="00475913"/>
    <w:rsid w:val="00480080"/>
    <w:rsid w:val="004824A7"/>
    <w:rsid w:val="00483AF0"/>
    <w:rsid w:val="00484167"/>
    <w:rsid w:val="00492211"/>
    <w:rsid w:val="00492325"/>
    <w:rsid w:val="00492A6D"/>
    <w:rsid w:val="00494303"/>
    <w:rsid w:val="0049682B"/>
    <w:rsid w:val="004A03F7"/>
    <w:rsid w:val="004A081C"/>
    <w:rsid w:val="004A123F"/>
    <w:rsid w:val="004A2172"/>
    <w:rsid w:val="004B138F"/>
    <w:rsid w:val="004B412A"/>
    <w:rsid w:val="004B576C"/>
    <w:rsid w:val="004B772A"/>
    <w:rsid w:val="004C302F"/>
    <w:rsid w:val="004C4609"/>
    <w:rsid w:val="004C4B8A"/>
    <w:rsid w:val="004C52EF"/>
    <w:rsid w:val="004C55E7"/>
    <w:rsid w:val="004C5F34"/>
    <w:rsid w:val="004C600C"/>
    <w:rsid w:val="004C7888"/>
    <w:rsid w:val="004D1AC9"/>
    <w:rsid w:val="004D27DE"/>
    <w:rsid w:val="004D3F41"/>
    <w:rsid w:val="004D5098"/>
    <w:rsid w:val="004D6497"/>
    <w:rsid w:val="004E0E60"/>
    <w:rsid w:val="004E12A3"/>
    <w:rsid w:val="004E2492"/>
    <w:rsid w:val="004E3096"/>
    <w:rsid w:val="004E47F2"/>
    <w:rsid w:val="004E4E2B"/>
    <w:rsid w:val="004E5D4F"/>
    <w:rsid w:val="004E5DEA"/>
    <w:rsid w:val="004E6639"/>
    <w:rsid w:val="004E6BAE"/>
    <w:rsid w:val="004F32AD"/>
    <w:rsid w:val="004F57CB"/>
    <w:rsid w:val="004F64F6"/>
    <w:rsid w:val="004F69C0"/>
    <w:rsid w:val="004F7BE6"/>
    <w:rsid w:val="00500121"/>
    <w:rsid w:val="005017AC"/>
    <w:rsid w:val="00501E8A"/>
    <w:rsid w:val="00505121"/>
    <w:rsid w:val="00505C04"/>
    <w:rsid w:val="00505F1B"/>
    <w:rsid w:val="005073E8"/>
    <w:rsid w:val="00510503"/>
    <w:rsid w:val="0051324D"/>
    <w:rsid w:val="00515466"/>
    <w:rsid w:val="005154F7"/>
    <w:rsid w:val="005159DE"/>
    <w:rsid w:val="005269CE"/>
    <w:rsid w:val="005304B2"/>
    <w:rsid w:val="005336BD"/>
    <w:rsid w:val="00534A49"/>
    <w:rsid w:val="005363BB"/>
    <w:rsid w:val="00541B98"/>
    <w:rsid w:val="00543374"/>
    <w:rsid w:val="00545548"/>
    <w:rsid w:val="00546923"/>
    <w:rsid w:val="00551CA6"/>
    <w:rsid w:val="00555034"/>
    <w:rsid w:val="005570D2"/>
    <w:rsid w:val="00560171"/>
    <w:rsid w:val="0056153F"/>
    <w:rsid w:val="00561B14"/>
    <w:rsid w:val="00562C87"/>
    <w:rsid w:val="005636BD"/>
    <w:rsid w:val="005666D5"/>
    <w:rsid w:val="005669A7"/>
    <w:rsid w:val="00573401"/>
    <w:rsid w:val="00576714"/>
    <w:rsid w:val="0057685A"/>
    <w:rsid w:val="00576FB0"/>
    <w:rsid w:val="005847EF"/>
    <w:rsid w:val="005851E6"/>
    <w:rsid w:val="005878B7"/>
    <w:rsid w:val="00592C9A"/>
    <w:rsid w:val="00593DF8"/>
    <w:rsid w:val="00595745"/>
    <w:rsid w:val="005A0E18"/>
    <w:rsid w:val="005A12A5"/>
    <w:rsid w:val="005A3790"/>
    <w:rsid w:val="005A3CCB"/>
    <w:rsid w:val="005A6D13"/>
    <w:rsid w:val="005B031F"/>
    <w:rsid w:val="005B3298"/>
    <w:rsid w:val="005B5516"/>
    <w:rsid w:val="005B5D2B"/>
    <w:rsid w:val="005C1496"/>
    <w:rsid w:val="005C17C5"/>
    <w:rsid w:val="005C2B21"/>
    <w:rsid w:val="005C2C00"/>
    <w:rsid w:val="005C4C6F"/>
    <w:rsid w:val="005C5127"/>
    <w:rsid w:val="005C7CCB"/>
    <w:rsid w:val="005D1444"/>
    <w:rsid w:val="005D4DAE"/>
    <w:rsid w:val="005D767D"/>
    <w:rsid w:val="005D7A30"/>
    <w:rsid w:val="005D7D3B"/>
    <w:rsid w:val="005E1999"/>
    <w:rsid w:val="005E232C"/>
    <w:rsid w:val="005E2B83"/>
    <w:rsid w:val="005E4AEB"/>
    <w:rsid w:val="005E738F"/>
    <w:rsid w:val="005E788B"/>
    <w:rsid w:val="005F1519"/>
    <w:rsid w:val="005F4862"/>
    <w:rsid w:val="005F5679"/>
    <w:rsid w:val="005F5FDF"/>
    <w:rsid w:val="005F6960"/>
    <w:rsid w:val="005F7000"/>
    <w:rsid w:val="005F7AAA"/>
    <w:rsid w:val="00600BAA"/>
    <w:rsid w:val="006012DA"/>
    <w:rsid w:val="00603B0F"/>
    <w:rsid w:val="006049F5"/>
    <w:rsid w:val="00605F7B"/>
    <w:rsid w:val="00607E64"/>
    <w:rsid w:val="006106E9"/>
    <w:rsid w:val="0061159E"/>
    <w:rsid w:val="00614633"/>
    <w:rsid w:val="00614BC8"/>
    <w:rsid w:val="006151FB"/>
    <w:rsid w:val="00617411"/>
    <w:rsid w:val="006249CB"/>
    <w:rsid w:val="006272DD"/>
    <w:rsid w:val="00630963"/>
    <w:rsid w:val="00631897"/>
    <w:rsid w:val="00632928"/>
    <w:rsid w:val="006330DA"/>
    <w:rsid w:val="00633262"/>
    <w:rsid w:val="00633460"/>
    <w:rsid w:val="006402E7"/>
    <w:rsid w:val="00640A7C"/>
    <w:rsid w:val="00640CB6"/>
    <w:rsid w:val="00641B42"/>
    <w:rsid w:val="00645750"/>
    <w:rsid w:val="00650692"/>
    <w:rsid w:val="006508D3"/>
    <w:rsid w:val="00650AFA"/>
    <w:rsid w:val="00662B77"/>
    <w:rsid w:val="00662D0E"/>
    <w:rsid w:val="00663265"/>
    <w:rsid w:val="0066345F"/>
    <w:rsid w:val="0066485B"/>
    <w:rsid w:val="00665388"/>
    <w:rsid w:val="0067036E"/>
    <w:rsid w:val="00671693"/>
    <w:rsid w:val="006757AA"/>
    <w:rsid w:val="0068127E"/>
    <w:rsid w:val="00681790"/>
    <w:rsid w:val="006823AA"/>
    <w:rsid w:val="00684B98"/>
    <w:rsid w:val="00685DC9"/>
    <w:rsid w:val="00687465"/>
    <w:rsid w:val="006907CF"/>
    <w:rsid w:val="00691CCF"/>
    <w:rsid w:val="0069364E"/>
    <w:rsid w:val="00693AFA"/>
    <w:rsid w:val="00695101"/>
    <w:rsid w:val="00695B9A"/>
    <w:rsid w:val="00696563"/>
    <w:rsid w:val="006979F8"/>
    <w:rsid w:val="006A6068"/>
    <w:rsid w:val="006B12AE"/>
    <w:rsid w:val="006B16B3"/>
    <w:rsid w:val="006B1918"/>
    <w:rsid w:val="006B233E"/>
    <w:rsid w:val="006B23D8"/>
    <w:rsid w:val="006B28D5"/>
    <w:rsid w:val="006B2A01"/>
    <w:rsid w:val="006B2B8C"/>
    <w:rsid w:val="006B2DEB"/>
    <w:rsid w:val="006B54C5"/>
    <w:rsid w:val="006B5E80"/>
    <w:rsid w:val="006B7A2E"/>
    <w:rsid w:val="006C4709"/>
    <w:rsid w:val="006D3005"/>
    <w:rsid w:val="006D504F"/>
    <w:rsid w:val="006E0CAC"/>
    <w:rsid w:val="006E1CFB"/>
    <w:rsid w:val="006E1F94"/>
    <w:rsid w:val="006E26C1"/>
    <w:rsid w:val="006E30A8"/>
    <w:rsid w:val="006E45B0"/>
    <w:rsid w:val="006E5692"/>
    <w:rsid w:val="006F0E21"/>
    <w:rsid w:val="006F365D"/>
    <w:rsid w:val="006F4BB0"/>
    <w:rsid w:val="007031BD"/>
    <w:rsid w:val="00703E80"/>
    <w:rsid w:val="00705276"/>
    <w:rsid w:val="007066A0"/>
    <w:rsid w:val="007075FB"/>
    <w:rsid w:val="0070787B"/>
    <w:rsid w:val="0071131D"/>
    <w:rsid w:val="00711E3D"/>
    <w:rsid w:val="00711E85"/>
    <w:rsid w:val="00712DDA"/>
    <w:rsid w:val="00717739"/>
    <w:rsid w:val="00717DE4"/>
    <w:rsid w:val="00721724"/>
    <w:rsid w:val="00722EC5"/>
    <w:rsid w:val="00723326"/>
    <w:rsid w:val="00724252"/>
    <w:rsid w:val="00726F83"/>
    <w:rsid w:val="00726FC7"/>
    <w:rsid w:val="00727E7A"/>
    <w:rsid w:val="0073163C"/>
    <w:rsid w:val="00731DE3"/>
    <w:rsid w:val="00735B9D"/>
    <w:rsid w:val="007365A5"/>
    <w:rsid w:val="00736B13"/>
    <w:rsid w:val="00736FB0"/>
    <w:rsid w:val="007404BC"/>
    <w:rsid w:val="00740D13"/>
    <w:rsid w:val="00740F5F"/>
    <w:rsid w:val="00742794"/>
    <w:rsid w:val="00743C4C"/>
    <w:rsid w:val="007445B7"/>
    <w:rsid w:val="00744920"/>
    <w:rsid w:val="007509BE"/>
    <w:rsid w:val="0075287B"/>
    <w:rsid w:val="00755C7B"/>
    <w:rsid w:val="00764786"/>
    <w:rsid w:val="00766E12"/>
    <w:rsid w:val="0077098E"/>
    <w:rsid w:val="00771287"/>
    <w:rsid w:val="0077149E"/>
    <w:rsid w:val="00777518"/>
    <w:rsid w:val="0077779E"/>
    <w:rsid w:val="00780FB6"/>
    <w:rsid w:val="00782E21"/>
    <w:rsid w:val="0078552A"/>
    <w:rsid w:val="00785729"/>
    <w:rsid w:val="00786058"/>
    <w:rsid w:val="0079487D"/>
    <w:rsid w:val="007966D4"/>
    <w:rsid w:val="00796A0A"/>
    <w:rsid w:val="0079792C"/>
    <w:rsid w:val="007A0989"/>
    <w:rsid w:val="007A331F"/>
    <w:rsid w:val="007A3844"/>
    <w:rsid w:val="007A4381"/>
    <w:rsid w:val="007A5466"/>
    <w:rsid w:val="007A6BA3"/>
    <w:rsid w:val="007A7EC1"/>
    <w:rsid w:val="007B4FCA"/>
    <w:rsid w:val="007B7B85"/>
    <w:rsid w:val="007C462E"/>
    <w:rsid w:val="007C496B"/>
    <w:rsid w:val="007C6803"/>
    <w:rsid w:val="007D074A"/>
    <w:rsid w:val="007D2892"/>
    <w:rsid w:val="007D2DCC"/>
    <w:rsid w:val="007D47E1"/>
    <w:rsid w:val="007D7FCB"/>
    <w:rsid w:val="007E33B6"/>
    <w:rsid w:val="007E59E8"/>
    <w:rsid w:val="007F3861"/>
    <w:rsid w:val="007F4162"/>
    <w:rsid w:val="007F5441"/>
    <w:rsid w:val="007F7668"/>
    <w:rsid w:val="00800C63"/>
    <w:rsid w:val="00802243"/>
    <w:rsid w:val="008023D4"/>
    <w:rsid w:val="00805402"/>
    <w:rsid w:val="0080765F"/>
    <w:rsid w:val="00812BE3"/>
    <w:rsid w:val="00814516"/>
    <w:rsid w:val="00815C9D"/>
    <w:rsid w:val="008170E2"/>
    <w:rsid w:val="00823E4C"/>
    <w:rsid w:val="00827749"/>
    <w:rsid w:val="00827B7E"/>
    <w:rsid w:val="00830EEB"/>
    <w:rsid w:val="008347A9"/>
    <w:rsid w:val="00835628"/>
    <w:rsid w:val="00835E90"/>
    <w:rsid w:val="0084176D"/>
    <w:rsid w:val="008423E4"/>
    <w:rsid w:val="00842900"/>
    <w:rsid w:val="00850CF0"/>
    <w:rsid w:val="00851869"/>
    <w:rsid w:val="00851C04"/>
    <w:rsid w:val="008531A1"/>
    <w:rsid w:val="00853A94"/>
    <w:rsid w:val="008547A3"/>
    <w:rsid w:val="0085797D"/>
    <w:rsid w:val="00860020"/>
    <w:rsid w:val="008618E7"/>
    <w:rsid w:val="00861995"/>
    <w:rsid w:val="0086231A"/>
    <w:rsid w:val="0086477C"/>
    <w:rsid w:val="00864BAD"/>
    <w:rsid w:val="00866F9D"/>
    <w:rsid w:val="008673D9"/>
    <w:rsid w:val="00871775"/>
    <w:rsid w:val="00871AEF"/>
    <w:rsid w:val="008726E5"/>
    <w:rsid w:val="0087289E"/>
    <w:rsid w:val="00874C05"/>
    <w:rsid w:val="0087680A"/>
    <w:rsid w:val="008806EB"/>
    <w:rsid w:val="008812F8"/>
    <w:rsid w:val="008826F2"/>
    <w:rsid w:val="008845BA"/>
    <w:rsid w:val="00885203"/>
    <w:rsid w:val="008859CA"/>
    <w:rsid w:val="008861EE"/>
    <w:rsid w:val="00890B59"/>
    <w:rsid w:val="008930D7"/>
    <w:rsid w:val="008947A7"/>
    <w:rsid w:val="00897E80"/>
    <w:rsid w:val="008A04FA"/>
    <w:rsid w:val="008A3188"/>
    <w:rsid w:val="008A3FDF"/>
    <w:rsid w:val="008A6418"/>
    <w:rsid w:val="008B05D8"/>
    <w:rsid w:val="008B0B3D"/>
    <w:rsid w:val="008B2B1A"/>
    <w:rsid w:val="008B3428"/>
    <w:rsid w:val="008B7785"/>
    <w:rsid w:val="008C0809"/>
    <w:rsid w:val="008C132C"/>
    <w:rsid w:val="008C3FD0"/>
    <w:rsid w:val="008D27A5"/>
    <w:rsid w:val="008D2AAB"/>
    <w:rsid w:val="008D309C"/>
    <w:rsid w:val="008D58F9"/>
    <w:rsid w:val="008E3338"/>
    <w:rsid w:val="008E47BE"/>
    <w:rsid w:val="008F09DF"/>
    <w:rsid w:val="008F3053"/>
    <w:rsid w:val="008F3136"/>
    <w:rsid w:val="008F40DF"/>
    <w:rsid w:val="008F5E16"/>
    <w:rsid w:val="008F5EFC"/>
    <w:rsid w:val="00901670"/>
    <w:rsid w:val="00902212"/>
    <w:rsid w:val="00903E0A"/>
    <w:rsid w:val="00904721"/>
    <w:rsid w:val="00907780"/>
    <w:rsid w:val="00907EDD"/>
    <w:rsid w:val="009107AD"/>
    <w:rsid w:val="00915568"/>
    <w:rsid w:val="00917E0C"/>
    <w:rsid w:val="00920711"/>
    <w:rsid w:val="00921A1E"/>
    <w:rsid w:val="00924EA9"/>
    <w:rsid w:val="00925CE1"/>
    <w:rsid w:val="00925F5C"/>
    <w:rsid w:val="00927B67"/>
    <w:rsid w:val="00930897"/>
    <w:rsid w:val="009320D2"/>
    <w:rsid w:val="00932C77"/>
    <w:rsid w:val="0093417F"/>
    <w:rsid w:val="00934AC2"/>
    <w:rsid w:val="009375BB"/>
    <w:rsid w:val="009418E9"/>
    <w:rsid w:val="0094517A"/>
    <w:rsid w:val="00946044"/>
    <w:rsid w:val="009465AB"/>
    <w:rsid w:val="00946DEE"/>
    <w:rsid w:val="00953499"/>
    <w:rsid w:val="00954A16"/>
    <w:rsid w:val="0095696D"/>
    <w:rsid w:val="0096482F"/>
    <w:rsid w:val="00964E3A"/>
    <w:rsid w:val="00967126"/>
    <w:rsid w:val="00970EAE"/>
    <w:rsid w:val="00971627"/>
    <w:rsid w:val="00972797"/>
    <w:rsid w:val="0097279D"/>
    <w:rsid w:val="00976837"/>
    <w:rsid w:val="009774EE"/>
    <w:rsid w:val="00980311"/>
    <w:rsid w:val="0098170E"/>
    <w:rsid w:val="0098285C"/>
    <w:rsid w:val="00983B56"/>
    <w:rsid w:val="009847FD"/>
    <w:rsid w:val="009851B3"/>
    <w:rsid w:val="00985300"/>
    <w:rsid w:val="00986720"/>
    <w:rsid w:val="00987F00"/>
    <w:rsid w:val="0099403D"/>
    <w:rsid w:val="00995B0B"/>
    <w:rsid w:val="009A1883"/>
    <w:rsid w:val="009A39F5"/>
    <w:rsid w:val="009A4588"/>
    <w:rsid w:val="009A5EA5"/>
    <w:rsid w:val="009B00C2"/>
    <w:rsid w:val="009B26AB"/>
    <w:rsid w:val="009B3476"/>
    <w:rsid w:val="009B39BC"/>
    <w:rsid w:val="009B5069"/>
    <w:rsid w:val="009B69AD"/>
    <w:rsid w:val="009B7806"/>
    <w:rsid w:val="009C05C1"/>
    <w:rsid w:val="009C1E9A"/>
    <w:rsid w:val="009C2A33"/>
    <w:rsid w:val="009C2E49"/>
    <w:rsid w:val="009C36CD"/>
    <w:rsid w:val="009C43A5"/>
    <w:rsid w:val="009C5A1D"/>
    <w:rsid w:val="009C6B08"/>
    <w:rsid w:val="009C70FC"/>
    <w:rsid w:val="009D002B"/>
    <w:rsid w:val="009D37C7"/>
    <w:rsid w:val="009D4BBD"/>
    <w:rsid w:val="009D5A41"/>
    <w:rsid w:val="009E13BF"/>
    <w:rsid w:val="009E3631"/>
    <w:rsid w:val="009E3EB9"/>
    <w:rsid w:val="009E69C2"/>
    <w:rsid w:val="009E70AF"/>
    <w:rsid w:val="009E7AEB"/>
    <w:rsid w:val="009F1B37"/>
    <w:rsid w:val="009F4EB0"/>
    <w:rsid w:val="009F4F2B"/>
    <w:rsid w:val="009F4F64"/>
    <w:rsid w:val="009F513E"/>
    <w:rsid w:val="009F5802"/>
    <w:rsid w:val="009F5B25"/>
    <w:rsid w:val="009F64AE"/>
    <w:rsid w:val="00A0042D"/>
    <w:rsid w:val="00A0053A"/>
    <w:rsid w:val="00A00C33"/>
    <w:rsid w:val="00A01103"/>
    <w:rsid w:val="00A012C0"/>
    <w:rsid w:val="00A014BB"/>
    <w:rsid w:val="00A01E10"/>
    <w:rsid w:val="00A02D81"/>
    <w:rsid w:val="00A03F54"/>
    <w:rsid w:val="00A0432D"/>
    <w:rsid w:val="00A07689"/>
    <w:rsid w:val="00A07906"/>
    <w:rsid w:val="00A10908"/>
    <w:rsid w:val="00A12330"/>
    <w:rsid w:val="00A1259F"/>
    <w:rsid w:val="00A1446F"/>
    <w:rsid w:val="00A151B5"/>
    <w:rsid w:val="00A220FF"/>
    <w:rsid w:val="00A227E0"/>
    <w:rsid w:val="00A232E4"/>
    <w:rsid w:val="00A24AAD"/>
    <w:rsid w:val="00A26A8A"/>
    <w:rsid w:val="00A27255"/>
    <w:rsid w:val="00A32304"/>
    <w:rsid w:val="00A3420E"/>
    <w:rsid w:val="00A35D66"/>
    <w:rsid w:val="00A41085"/>
    <w:rsid w:val="00A425FA"/>
    <w:rsid w:val="00A43960"/>
    <w:rsid w:val="00A46902"/>
    <w:rsid w:val="00A50CDB"/>
    <w:rsid w:val="00A51F3E"/>
    <w:rsid w:val="00A5364B"/>
    <w:rsid w:val="00A54142"/>
    <w:rsid w:val="00A54C42"/>
    <w:rsid w:val="00A572B1"/>
    <w:rsid w:val="00A577AF"/>
    <w:rsid w:val="00A60177"/>
    <w:rsid w:val="00A61C27"/>
    <w:rsid w:val="00A6344D"/>
    <w:rsid w:val="00A644B8"/>
    <w:rsid w:val="00A70E35"/>
    <w:rsid w:val="00A720DC"/>
    <w:rsid w:val="00A803CF"/>
    <w:rsid w:val="00A8133F"/>
    <w:rsid w:val="00A82CB4"/>
    <w:rsid w:val="00A837A8"/>
    <w:rsid w:val="00A83C36"/>
    <w:rsid w:val="00A932BB"/>
    <w:rsid w:val="00A93579"/>
    <w:rsid w:val="00A93934"/>
    <w:rsid w:val="00A95D51"/>
    <w:rsid w:val="00AA18AE"/>
    <w:rsid w:val="00AA228B"/>
    <w:rsid w:val="00AA597A"/>
    <w:rsid w:val="00AA7E52"/>
    <w:rsid w:val="00AB1655"/>
    <w:rsid w:val="00AB1873"/>
    <w:rsid w:val="00AB1B43"/>
    <w:rsid w:val="00AB2C05"/>
    <w:rsid w:val="00AB3536"/>
    <w:rsid w:val="00AB474B"/>
    <w:rsid w:val="00AB5CCC"/>
    <w:rsid w:val="00AB74E2"/>
    <w:rsid w:val="00AC2E9A"/>
    <w:rsid w:val="00AC5AAB"/>
    <w:rsid w:val="00AC5AEC"/>
    <w:rsid w:val="00AC5F28"/>
    <w:rsid w:val="00AC6900"/>
    <w:rsid w:val="00AD304B"/>
    <w:rsid w:val="00AD4497"/>
    <w:rsid w:val="00AD7780"/>
    <w:rsid w:val="00AE2263"/>
    <w:rsid w:val="00AE248E"/>
    <w:rsid w:val="00AE2D12"/>
    <w:rsid w:val="00AE2F06"/>
    <w:rsid w:val="00AE4F1C"/>
    <w:rsid w:val="00AF1433"/>
    <w:rsid w:val="00AF48B4"/>
    <w:rsid w:val="00AF4923"/>
    <w:rsid w:val="00AF4E3F"/>
    <w:rsid w:val="00AF7C74"/>
    <w:rsid w:val="00B000AF"/>
    <w:rsid w:val="00B04E79"/>
    <w:rsid w:val="00B05AD4"/>
    <w:rsid w:val="00B07488"/>
    <w:rsid w:val="00B075A2"/>
    <w:rsid w:val="00B10DD2"/>
    <w:rsid w:val="00B115DC"/>
    <w:rsid w:val="00B11952"/>
    <w:rsid w:val="00B14BD2"/>
    <w:rsid w:val="00B1557F"/>
    <w:rsid w:val="00B1668D"/>
    <w:rsid w:val="00B17981"/>
    <w:rsid w:val="00B233BB"/>
    <w:rsid w:val="00B25612"/>
    <w:rsid w:val="00B2606D"/>
    <w:rsid w:val="00B26437"/>
    <w:rsid w:val="00B2678E"/>
    <w:rsid w:val="00B30647"/>
    <w:rsid w:val="00B31F0E"/>
    <w:rsid w:val="00B34F25"/>
    <w:rsid w:val="00B43672"/>
    <w:rsid w:val="00B473D8"/>
    <w:rsid w:val="00B5165A"/>
    <w:rsid w:val="00B524C1"/>
    <w:rsid w:val="00B52C8D"/>
    <w:rsid w:val="00B564BF"/>
    <w:rsid w:val="00B6104E"/>
    <w:rsid w:val="00B610C7"/>
    <w:rsid w:val="00B62106"/>
    <w:rsid w:val="00B626A8"/>
    <w:rsid w:val="00B65695"/>
    <w:rsid w:val="00B656D3"/>
    <w:rsid w:val="00B66526"/>
    <w:rsid w:val="00B665A3"/>
    <w:rsid w:val="00B717A0"/>
    <w:rsid w:val="00B73BB4"/>
    <w:rsid w:val="00B80532"/>
    <w:rsid w:val="00B82039"/>
    <w:rsid w:val="00B82454"/>
    <w:rsid w:val="00B86703"/>
    <w:rsid w:val="00B90097"/>
    <w:rsid w:val="00B90999"/>
    <w:rsid w:val="00B919AE"/>
    <w:rsid w:val="00B91AD7"/>
    <w:rsid w:val="00B92D23"/>
    <w:rsid w:val="00B95BC8"/>
    <w:rsid w:val="00B96E87"/>
    <w:rsid w:val="00BA146A"/>
    <w:rsid w:val="00BA32EE"/>
    <w:rsid w:val="00BB5B36"/>
    <w:rsid w:val="00BC027B"/>
    <w:rsid w:val="00BC30A6"/>
    <w:rsid w:val="00BC3ED3"/>
    <w:rsid w:val="00BC3EF6"/>
    <w:rsid w:val="00BC4E34"/>
    <w:rsid w:val="00BC51D0"/>
    <w:rsid w:val="00BC58E1"/>
    <w:rsid w:val="00BC59CA"/>
    <w:rsid w:val="00BC6462"/>
    <w:rsid w:val="00BD0A32"/>
    <w:rsid w:val="00BD4E55"/>
    <w:rsid w:val="00BD513B"/>
    <w:rsid w:val="00BD5E52"/>
    <w:rsid w:val="00BE00CD"/>
    <w:rsid w:val="00BE0417"/>
    <w:rsid w:val="00BE0E75"/>
    <w:rsid w:val="00BE157A"/>
    <w:rsid w:val="00BE1789"/>
    <w:rsid w:val="00BE3634"/>
    <w:rsid w:val="00BE3E30"/>
    <w:rsid w:val="00BE5274"/>
    <w:rsid w:val="00BE71CD"/>
    <w:rsid w:val="00BE7748"/>
    <w:rsid w:val="00BE7BDA"/>
    <w:rsid w:val="00BF0548"/>
    <w:rsid w:val="00BF4949"/>
    <w:rsid w:val="00BF4D7C"/>
    <w:rsid w:val="00BF5085"/>
    <w:rsid w:val="00C013F4"/>
    <w:rsid w:val="00C040AB"/>
    <w:rsid w:val="00C0499B"/>
    <w:rsid w:val="00C05406"/>
    <w:rsid w:val="00C05CF0"/>
    <w:rsid w:val="00C119AC"/>
    <w:rsid w:val="00C14EE6"/>
    <w:rsid w:val="00C151DA"/>
    <w:rsid w:val="00C152A1"/>
    <w:rsid w:val="00C16CCB"/>
    <w:rsid w:val="00C2142B"/>
    <w:rsid w:val="00C22987"/>
    <w:rsid w:val="00C23956"/>
    <w:rsid w:val="00C248E6"/>
    <w:rsid w:val="00C2766F"/>
    <w:rsid w:val="00C3223B"/>
    <w:rsid w:val="00C333C6"/>
    <w:rsid w:val="00C35CC5"/>
    <w:rsid w:val="00C361C5"/>
    <w:rsid w:val="00C36953"/>
    <w:rsid w:val="00C377D1"/>
    <w:rsid w:val="00C37BDA"/>
    <w:rsid w:val="00C37C84"/>
    <w:rsid w:val="00C42B41"/>
    <w:rsid w:val="00C46166"/>
    <w:rsid w:val="00C4710D"/>
    <w:rsid w:val="00C50CAD"/>
    <w:rsid w:val="00C57933"/>
    <w:rsid w:val="00C60206"/>
    <w:rsid w:val="00C615D4"/>
    <w:rsid w:val="00C61B5D"/>
    <w:rsid w:val="00C61C0E"/>
    <w:rsid w:val="00C61C64"/>
    <w:rsid w:val="00C61CDA"/>
    <w:rsid w:val="00C72956"/>
    <w:rsid w:val="00C73045"/>
    <w:rsid w:val="00C73212"/>
    <w:rsid w:val="00C7354A"/>
    <w:rsid w:val="00C74379"/>
    <w:rsid w:val="00C74DD8"/>
    <w:rsid w:val="00C75C5E"/>
    <w:rsid w:val="00C7669F"/>
    <w:rsid w:val="00C76DFF"/>
    <w:rsid w:val="00C80B8F"/>
    <w:rsid w:val="00C82743"/>
    <w:rsid w:val="00C834CE"/>
    <w:rsid w:val="00C83B9B"/>
    <w:rsid w:val="00C9047F"/>
    <w:rsid w:val="00C91F65"/>
    <w:rsid w:val="00C92310"/>
    <w:rsid w:val="00C95150"/>
    <w:rsid w:val="00C95A73"/>
    <w:rsid w:val="00CA02B0"/>
    <w:rsid w:val="00CA032E"/>
    <w:rsid w:val="00CA2182"/>
    <w:rsid w:val="00CA2186"/>
    <w:rsid w:val="00CA26EF"/>
    <w:rsid w:val="00CA3608"/>
    <w:rsid w:val="00CA4CA0"/>
    <w:rsid w:val="00CA5E5E"/>
    <w:rsid w:val="00CA7D7B"/>
    <w:rsid w:val="00CB0131"/>
    <w:rsid w:val="00CB0AE4"/>
    <w:rsid w:val="00CB0C21"/>
    <w:rsid w:val="00CB0D1A"/>
    <w:rsid w:val="00CB3627"/>
    <w:rsid w:val="00CB4B4B"/>
    <w:rsid w:val="00CB4B73"/>
    <w:rsid w:val="00CB74CB"/>
    <w:rsid w:val="00CB7E04"/>
    <w:rsid w:val="00CC24B7"/>
    <w:rsid w:val="00CC7131"/>
    <w:rsid w:val="00CC7B9E"/>
    <w:rsid w:val="00CD06CA"/>
    <w:rsid w:val="00CD076A"/>
    <w:rsid w:val="00CD180C"/>
    <w:rsid w:val="00CD37DA"/>
    <w:rsid w:val="00CD4F2C"/>
    <w:rsid w:val="00CD731C"/>
    <w:rsid w:val="00CE08E8"/>
    <w:rsid w:val="00CE2133"/>
    <w:rsid w:val="00CE245D"/>
    <w:rsid w:val="00CE300F"/>
    <w:rsid w:val="00CE3582"/>
    <w:rsid w:val="00CE3795"/>
    <w:rsid w:val="00CE3A5D"/>
    <w:rsid w:val="00CE3E20"/>
    <w:rsid w:val="00CF4827"/>
    <w:rsid w:val="00CF4C69"/>
    <w:rsid w:val="00CF581C"/>
    <w:rsid w:val="00CF71E0"/>
    <w:rsid w:val="00D001B1"/>
    <w:rsid w:val="00D03176"/>
    <w:rsid w:val="00D060A8"/>
    <w:rsid w:val="00D06605"/>
    <w:rsid w:val="00D0720F"/>
    <w:rsid w:val="00D074E2"/>
    <w:rsid w:val="00D11B0B"/>
    <w:rsid w:val="00D12A3E"/>
    <w:rsid w:val="00D22160"/>
    <w:rsid w:val="00D22172"/>
    <w:rsid w:val="00D2301B"/>
    <w:rsid w:val="00D239EE"/>
    <w:rsid w:val="00D30534"/>
    <w:rsid w:val="00D35728"/>
    <w:rsid w:val="00D37BCF"/>
    <w:rsid w:val="00D40F93"/>
    <w:rsid w:val="00D42277"/>
    <w:rsid w:val="00D43C59"/>
    <w:rsid w:val="00D44ADE"/>
    <w:rsid w:val="00D50D65"/>
    <w:rsid w:val="00D512E0"/>
    <w:rsid w:val="00D519F3"/>
    <w:rsid w:val="00D51D2A"/>
    <w:rsid w:val="00D53B7C"/>
    <w:rsid w:val="00D55F52"/>
    <w:rsid w:val="00D56508"/>
    <w:rsid w:val="00D6131A"/>
    <w:rsid w:val="00D61611"/>
    <w:rsid w:val="00D61784"/>
    <w:rsid w:val="00D6178A"/>
    <w:rsid w:val="00D63B53"/>
    <w:rsid w:val="00D64B88"/>
    <w:rsid w:val="00D64DC5"/>
    <w:rsid w:val="00D66BA6"/>
    <w:rsid w:val="00D700B1"/>
    <w:rsid w:val="00D730FA"/>
    <w:rsid w:val="00D76631"/>
    <w:rsid w:val="00D768B7"/>
    <w:rsid w:val="00D77492"/>
    <w:rsid w:val="00D811E8"/>
    <w:rsid w:val="00D81A44"/>
    <w:rsid w:val="00D83072"/>
    <w:rsid w:val="00D83ABC"/>
    <w:rsid w:val="00D84870"/>
    <w:rsid w:val="00D91B92"/>
    <w:rsid w:val="00D926B3"/>
    <w:rsid w:val="00D92F63"/>
    <w:rsid w:val="00D947B6"/>
    <w:rsid w:val="00D97E00"/>
    <w:rsid w:val="00DA00BC"/>
    <w:rsid w:val="00DA0E22"/>
    <w:rsid w:val="00DA1EFA"/>
    <w:rsid w:val="00DA25E7"/>
    <w:rsid w:val="00DA3687"/>
    <w:rsid w:val="00DA39F2"/>
    <w:rsid w:val="00DA564B"/>
    <w:rsid w:val="00DA6A5C"/>
    <w:rsid w:val="00DB311F"/>
    <w:rsid w:val="00DB53C6"/>
    <w:rsid w:val="00DB59E3"/>
    <w:rsid w:val="00DB6CB6"/>
    <w:rsid w:val="00DB758F"/>
    <w:rsid w:val="00DC1F1B"/>
    <w:rsid w:val="00DC3D8F"/>
    <w:rsid w:val="00DC42E8"/>
    <w:rsid w:val="00DC6DBB"/>
    <w:rsid w:val="00DC7761"/>
    <w:rsid w:val="00DD0022"/>
    <w:rsid w:val="00DD073C"/>
    <w:rsid w:val="00DD128C"/>
    <w:rsid w:val="00DD1B8F"/>
    <w:rsid w:val="00DD5BCC"/>
    <w:rsid w:val="00DD7509"/>
    <w:rsid w:val="00DD79C7"/>
    <w:rsid w:val="00DD7D6E"/>
    <w:rsid w:val="00DE34B2"/>
    <w:rsid w:val="00DE49DE"/>
    <w:rsid w:val="00DE618B"/>
    <w:rsid w:val="00DE6EC2"/>
    <w:rsid w:val="00DF0834"/>
    <w:rsid w:val="00DF2707"/>
    <w:rsid w:val="00DF4D90"/>
    <w:rsid w:val="00DF5EBD"/>
    <w:rsid w:val="00DF6BA8"/>
    <w:rsid w:val="00DF78EA"/>
    <w:rsid w:val="00DF7CA3"/>
    <w:rsid w:val="00DF7F0D"/>
    <w:rsid w:val="00E00D5A"/>
    <w:rsid w:val="00E01462"/>
    <w:rsid w:val="00E01A76"/>
    <w:rsid w:val="00E04B30"/>
    <w:rsid w:val="00E05FB7"/>
    <w:rsid w:val="00E066E6"/>
    <w:rsid w:val="00E06807"/>
    <w:rsid w:val="00E06C5E"/>
    <w:rsid w:val="00E0752B"/>
    <w:rsid w:val="00E1228E"/>
    <w:rsid w:val="00E13374"/>
    <w:rsid w:val="00E14079"/>
    <w:rsid w:val="00E15F90"/>
    <w:rsid w:val="00E16D3E"/>
    <w:rsid w:val="00E17167"/>
    <w:rsid w:val="00E20520"/>
    <w:rsid w:val="00E21D55"/>
    <w:rsid w:val="00E21FDC"/>
    <w:rsid w:val="00E2551E"/>
    <w:rsid w:val="00E26B13"/>
    <w:rsid w:val="00E26E41"/>
    <w:rsid w:val="00E27E5A"/>
    <w:rsid w:val="00E31135"/>
    <w:rsid w:val="00E317BA"/>
    <w:rsid w:val="00E3469B"/>
    <w:rsid w:val="00E3679D"/>
    <w:rsid w:val="00E3795D"/>
    <w:rsid w:val="00E4098A"/>
    <w:rsid w:val="00E41CAE"/>
    <w:rsid w:val="00E42014"/>
    <w:rsid w:val="00E42B85"/>
    <w:rsid w:val="00E42BB2"/>
    <w:rsid w:val="00E43263"/>
    <w:rsid w:val="00E438AE"/>
    <w:rsid w:val="00E443CE"/>
    <w:rsid w:val="00E45547"/>
    <w:rsid w:val="00E500F1"/>
    <w:rsid w:val="00E51446"/>
    <w:rsid w:val="00E51749"/>
    <w:rsid w:val="00E529C8"/>
    <w:rsid w:val="00E55DA0"/>
    <w:rsid w:val="00E56033"/>
    <w:rsid w:val="00E61159"/>
    <w:rsid w:val="00E625DA"/>
    <w:rsid w:val="00E634DC"/>
    <w:rsid w:val="00E667F3"/>
    <w:rsid w:val="00E67794"/>
    <w:rsid w:val="00E70CC6"/>
    <w:rsid w:val="00E71254"/>
    <w:rsid w:val="00E73CCD"/>
    <w:rsid w:val="00E76453"/>
    <w:rsid w:val="00E77353"/>
    <w:rsid w:val="00E775AE"/>
    <w:rsid w:val="00E8272C"/>
    <w:rsid w:val="00E827C7"/>
    <w:rsid w:val="00E85DBD"/>
    <w:rsid w:val="00E87A99"/>
    <w:rsid w:val="00E90702"/>
    <w:rsid w:val="00E9241E"/>
    <w:rsid w:val="00E93DEF"/>
    <w:rsid w:val="00E947B1"/>
    <w:rsid w:val="00E96852"/>
    <w:rsid w:val="00EA16AC"/>
    <w:rsid w:val="00EA385A"/>
    <w:rsid w:val="00EA3931"/>
    <w:rsid w:val="00EA658E"/>
    <w:rsid w:val="00EA7A88"/>
    <w:rsid w:val="00EB27F2"/>
    <w:rsid w:val="00EB3928"/>
    <w:rsid w:val="00EB5373"/>
    <w:rsid w:val="00EC02A2"/>
    <w:rsid w:val="00EC379B"/>
    <w:rsid w:val="00EC37DF"/>
    <w:rsid w:val="00EC41B1"/>
    <w:rsid w:val="00ED0665"/>
    <w:rsid w:val="00ED12C0"/>
    <w:rsid w:val="00ED19F0"/>
    <w:rsid w:val="00ED2B50"/>
    <w:rsid w:val="00ED3A32"/>
    <w:rsid w:val="00ED3BDE"/>
    <w:rsid w:val="00ED68FB"/>
    <w:rsid w:val="00ED783A"/>
    <w:rsid w:val="00EE2E34"/>
    <w:rsid w:val="00EE2E91"/>
    <w:rsid w:val="00EE43A2"/>
    <w:rsid w:val="00EE46B7"/>
    <w:rsid w:val="00EE5A49"/>
    <w:rsid w:val="00EE664B"/>
    <w:rsid w:val="00EF10BA"/>
    <w:rsid w:val="00EF1738"/>
    <w:rsid w:val="00EF2BAF"/>
    <w:rsid w:val="00EF3B8F"/>
    <w:rsid w:val="00EF543E"/>
    <w:rsid w:val="00EF559F"/>
    <w:rsid w:val="00EF5AA2"/>
    <w:rsid w:val="00EF7E26"/>
    <w:rsid w:val="00F01DFA"/>
    <w:rsid w:val="00F02096"/>
    <w:rsid w:val="00F02457"/>
    <w:rsid w:val="00F036C3"/>
    <w:rsid w:val="00F0417E"/>
    <w:rsid w:val="00F05397"/>
    <w:rsid w:val="00F0638C"/>
    <w:rsid w:val="00F11E04"/>
    <w:rsid w:val="00F12B24"/>
    <w:rsid w:val="00F12BC7"/>
    <w:rsid w:val="00F15223"/>
    <w:rsid w:val="00F164B4"/>
    <w:rsid w:val="00F176E4"/>
    <w:rsid w:val="00F20E5F"/>
    <w:rsid w:val="00F25CC2"/>
    <w:rsid w:val="00F27573"/>
    <w:rsid w:val="00F31876"/>
    <w:rsid w:val="00F31C67"/>
    <w:rsid w:val="00F36FE0"/>
    <w:rsid w:val="00F37EA8"/>
    <w:rsid w:val="00F40B14"/>
    <w:rsid w:val="00F41186"/>
    <w:rsid w:val="00F41EEF"/>
    <w:rsid w:val="00F41FAC"/>
    <w:rsid w:val="00F423D3"/>
    <w:rsid w:val="00F44349"/>
    <w:rsid w:val="00F4569E"/>
    <w:rsid w:val="00F45AFC"/>
    <w:rsid w:val="00F462F4"/>
    <w:rsid w:val="00F50130"/>
    <w:rsid w:val="00F52402"/>
    <w:rsid w:val="00F5605D"/>
    <w:rsid w:val="00F6514B"/>
    <w:rsid w:val="00F6587F"/>
    <w:rsid w:val="00F67981"/>
    <w:rsid w:val="00F706CA"/>
    <w:rsid w:val="00F70F8D"/>
    <w:rsid w:val="00F71C5A"/>
    <w:rsid w:val="00F733A4"/>
    <w:rsid w:val="00F7758F"/>
    <w:rsid w:val="00F82811"/>
    <w:rsid w:val="00F84153"/>
    <w:rsid w:val="00F85661"/>
    <w:rsid w:val="00F96602"/>
    <w:rsid w:val="00F9735A"/>
    <w:rsid w:val="00FA32FC"/>
    <w:rsid w:val="00FA59FD"/>
    <w:rsid w:val="00FA5D8C"/>
    <w:rsid w:val="00FA6403"/>
    <w:rsid w:val="00FB16CD"/>
    <w:rsid w:val="00FB28CF"/>
    <w:rsid w:val="00FB4D05"/>
    <w:rsid w:val="00FB73AE"/>
    <w:rsid w:val="00FC5388"/>
    <w:rsid w:val="00FC726C"/>
    <w:rsid w:val="00FD1B4B"/>
    <w:rsid w:val="00FD1B94"/>
    <w:rsid w:val="00FE19C5"/>
    <w:rsid w:val="00FE4286"/>
    <w:rsid w:val="00FE48C3"/>
    <w:rsid w:val="00FE5909"/>
    <w:rsid w:val="00FE652E"/>
    <w:rsid w:val="00FE71FE"/>
    <w:rsid w:val="00FF0A28"/>
    <w:rsid w:val="00FF0B8B"/>
    <w:rsid w:val="00FF0E93"/>
    <w:rsid w:val="00FF13C3"/>
    <w:rsid w:val="00FF34C8"/>
    <w:rsid w:val="00FF4341"/>
    <w:rsid w:val="00FF517B"/>
    <w:rsid w:val="00FF6085"/>
    <w:rsid w:val="00FF6F72"/>
    <w:rsid w:val="00FF7565"/>
    <w:rsid w:val="00FF7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9693216-C3E6-418D-8AEC-639AB0B42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364BC0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364BC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364BC0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364B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364BC0"/>
    <w:rPr>
      <w:b/>
      <w:bCs/>
    </w:rPr>
  </w:style>
  <w:style w:type="paragraph" w:styleId="Revision">
    <w:name w:val="Revision"/>
    <w:hidden/>
    <w:uiPriority w:val="99"/>
    <w:semiHidden/>
    <w:rsid w:val="00364BC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1132</Words>
  <Characters>6260</Characters>
  <Application>Microsoft Office Word</Application>
  <DocSecurity>4</DocSecurity>
  <Lines>131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SB01900 (Committee Report (Substituted))</vt:lpstr>
    </vt:vector>
  </TitlesOfParts>
  <Company>State of Texas</Company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87R 22802</dc:subject>
  <dc:creator>State of Texas</dc:creator>
  <dc:description>SB 1900 by Zaffirini-(H)Pensions, Investments &amp; Financial Services (Substitute Document Number: 87R 20288)</dc:description>
  <cp:lastModifiedBy>Damian Duarte</cp:lastModifiedBy>
  <cp:revision>2</cp:revision>
  <cp:lastPrinted>2003-11-26T17:21:00Z</cp:lastPrinted>
  <dcterms:created xsi:type="dcterms:W3CDTF">2021-05-07T04:21:00Z</dcterms:created>
  <dcterms:modified xsi:type="dcterms:W3CDTF">2021-05-07T04:21:00Z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21.118.1489</vt:lpwstr>
  </property>
</Properties>
</file>