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E492C" w14:paraId="3C742C45" w14:textId="77777777" w:rsidTr="00345119">
        <w:tc>
          <w:tcPr>
            <w:tcW w:w="9576" w:type="dxa"/>
            <w:noWrap/>
          </w:tcPr>
          <w:p w14:paraId="65A31547" w14:textId="77777777" w:rsidR="008423E4" w:rsidRPr="0022177D" w:rsidRDefault="00350A5C" w:rsidP="00EE6A9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FD326FC" w14:textId="77777777" w:rsidR="008423E4" w:rsidRPr="0022177D" w:rsidRDefault="008423E4" w:rsidP="00EE6A96">
      <w:pPr>
        <w:jc w:val="center"/>
      </w:pPr>
    </w:p>
    <w:p w14:paraId="728B7C2B" w14:textId="77777777" w:rsidR="008423E4" w:rsidRPr="00B31F0E" w:rsidRDefault="008423E4" w:rsidP="00EE6A96"/>
    <w:p w14:paraId="6C2769AA" w14:textId="77777777" w:rsidR="008423E4" w:rsidRPr="00742794" w:rsidRDefault="008423E4" w:rsidP="00EE6A9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492C" w14:paraId="083099C6" w14:textId="77777777" w:rsidTr="00345119">
        <w:tc>
          <w:tcPr>
            <w:tcW w:w="9576" w:type="dxa"/>
          </w:tcPr>
          <w:p w14:paraId="3F0D9C43" w14:textId="77777777" w:rsidR="008423E4" w:rsidRPr="00861995" w:rsidRDefault="00350A5C" w:rsidP="00EE6A96">
            <w:pPr>
              <w:jc w:val="right"/>
            </w:pPr>
            <w:r>
              <w:t>S.B. 1923</w:t>
            </w:r>
          </w:p>
        </w:tc>
      </w:tr>
      <w:tr w:rsidR="00BE492C" w14:paraId="39EEA8FF" w14:textId="77777777" w:rsidTr="00345119">
        <w:tc>
          <w:tcPr>
            <w:tcW w:w="9576" w:type="dxa"/>
          </w:tcPr>
          <w:p w14:paraId="4B87F5D4" w14:textId="77777777" w:rsidR="008423E4" w:rsidRPr="00861995" w:rsidRDefault="00350A5C" w:rsidP="00EE6A96">
            <w:pPr>
              <w:jc w:val="right"/>
            </w:pPr>
            <w:r>
              <w:t xml:space="preserve">By: </w:t>
            </w:r>
            <w:r w:rsidR="00BE11D3">
              <w:t>Zaffirini</w:t>
            </w:r>
          </w:p>
        </w:tc>
      </w:tr>
      <w:tr w:rsidR="00BE492C" w14:paraId="1728357D" w14:textId="77777777" w:rsidTr="00345119">
        <w:tc>
          <w:tcPr>
            <w:tcW w:w="9576" w:type="dxa"/>
          </w:tcPr>
          <w:p w14:paraId="13D61675" w14:textId="77777777" w:rsidR="008423E4" w:rsidRPr="00861995" w:rsidRDefault="00350A5C" w:rsidP="00EE6A96">
            <w:pPr>
              <w:jc w:val="right"/>
            </w:pPr>
            <w:r>
              <w:t>Judiciary &amp; Civil Jurisprudence</w:t>
            </w:r>
          </w:p>
        </w:tc>
      </w:tr>
      <w:tr w:rsidR="00BE492C" w14:paraId="07FC9083" w14:textId="77777777" w:rsidTr="00345119">
        <w:tc>
          <w:tcPr>
            <w:tcW w:w="9576" w:type="dxa"/>
          </w:tcPr>
          <w:p w14:paraId="7C98AB9D" w14:textId="77777777" w:rsidR="008423E4" w:rsidRDefault="00350A5C" w:rsidP="00EE6A96">
            <w:pPr>
              <w:jc w:val="right"/>
            </w:pPr>
            <w:r>
              <w:t>Committee Report (Unamended)</w:t>
            </w:r>
          </w:p>
        </w:tc>
      </w:tr>
    </w:tbl>
    <w:p w14:paraId="7F40A968" w14:textId="77777777" w:rsidR="008423E4" w:rsidRDefault="008423E4" w:rsidP="00EE6A96">
      <w:pPr>
        <w:tabs>
          <w:tab w:val="right" w:pos="9360"/>
        </w:tabs>
      </w:pPr>
    </w:p>
    <w:p w14:paraId="6EB00758" w14:textId="77777777" w:rsidR="008423E4" w:rsidRDefault="008423E4" w:rsidP="00EE6A96"/>
    <w:p w14:paraId="7216B1E1" w14:textId="77777777" w:rsidR="008423E4" w:rsidRDefault="008423E4" w:rsidP="00EE6A9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E492C" w14:paraId="0416A39C" w14:textId="77777777" w:rsidTr="00345119">
        <w:tc>
          <w:tcPr>
            <w:tcW w:w="9576" w:type="dxa"/>
          </w:tcPr>
          <w:p w14:paraId="6BB2E8C4" w14:textId="77777777" w:rsidR="008423E4" w:rsidRPr="00A8133F" w:rsidRDefault="00350A5C" w:rsidP="00EE6A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9893EC" w14:textId="77777777" w:rsidR="008423E4" w:rsidRDefault="008423E4" w:rsidP="00EE6A96"/>
          <w:p w14:paraId="26A107EA" w14:textId="1A49DFB6" w:rsidR="00BE11D3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E11D3">
              <w:t>Last session</w:t>
            </w:r>
            <w:r w:rsidR="00BB6FFE">
              <w:t>,</w:t>
            </w:r>
            <w:r w:rsidRPr="00BE11D3">
              <w:t xml:space="preserve"> the </w:t>
            </w:r>
            <w:r w:rsidR="00BB6FFE">
              <w:t>l</w:t>
            </w:r>
            <w:r w:rsidRPr="00BE11D3">
              <w:t xml:space="preserve">egislature </w:t>
            </w:r>
            <w:r w:rsidR="00975BB4">
              <w:t xml:space="preserve">enacted </w:t>
            </w:r>
            <w:r w:rsidRPr="00BE11D3">
              <w:t xml:space="preserve">Senate Bill 346 to consolidate criminal court costs and ensure they </w:t>
            </w:r>
            <w:r w:rsidR="00975BB4">
              <w:t>were</w:t>
            </w:r>
            <w:r w:rsidR="00975BB4" w:rsidRPr="00BE11D3">
              <w:t xml:space="preserve"> </w:t>
            </w:r>
            <w:r w:rsidRPr="00BE11D3">
              <w:t xml:space="preserve">constitutional. There are several criminal court costs left in statute, however, that could present constitutional issues. </w:t>
            </w:r>
            <w:r w:rsidR="0030282C">
              <w:t>Further</w:t>
            </w:r>
            <w:r w:rsidRPr="00BE11D3">
              <w:t xml:space="preserve">more, it is unclear where clerks should direct some of the funds from certain fines and reimbursement fees established </w:t>
            </w:r>
            <w:r w:rsidR="00975BB4">
              <w:t>in that law</w:t>
            </w:r>
            <w:r w:rsidRPr="00BE11D3">
              <w:t>.</w:t>
            </w:r>
            <w:r w:rsidR="00BB6FFE">
              <w:t xml:space="preserve"> S.B. 1923 seeks to </w:t>
            </w:r>
            <w:r w:rsidRPr="00BE11D3">
              <w:t xml:space="preserve">remove </w:t>
            </w:r>
            <w:r w:rsidR="00BB6FFE">
              <w:t xml:space="preserve">and </w:t>
            </w:r>
            <w:r w:rsidRPr="00BE11D3">
              <w:t xml:space="preserve">consolidate remaining criminal court costs and fees that could be unconstitutional, provides additional direction for clerks when handling those costs and fees to implement the changes from </w:t>
            </w:r>
            <w:r>
              <w:t>last session</w:t>
            </w:r>
            <w:r w:rsidR="00E53176">
              <w:t>,</w:t>
            </w:r>
            <w:r>
              <w:t xml:space="preserve"> and addre</w:t>
            </w:r>
            <w:r w:rsidRPr="00BE11D3">
              <w:t>sses th</w:t>
            </w:r>
            <w:r w:rsidRPr="00BE11D3">
              <w:t>e definition of conviction for the purposes of criminal court costs.</w:t>
            </w:r>
            <w:r w:rsidR="00BB6FFE">
              <w:t xml:space="preserve"> </w:t>
            </w:r>
          </w:p>
          <w:p w14:paraId="0AB95C4D" w14:textId="77777777" w:rsidR="008423E4" w:rsidRPr="00E26B13" w:rsidRDefault="008423E4" w:rsidP="00EE6A96">
            <w:pPr>
              <w:rPr>
                <w:b/>
              </w:rPr>
            </w:pPr>
          </w:p>
        </w:tc>
      </w:tr>
      <w:tr w:rsidR="00BE492C" w14:paraId="090F4FA9" w14:textId="77777777" w:rsidTr="00345119">
        <w:tc>
          <w:tcPr>
            <w:tcW w:w="9576" w:type="dxa"/>
          </w:tcPr>
          <w:p w14:paraId="738F3C89" w14:textId="77777777" w:rsidR="0017725B" w:rsidRDefault="00350A5C" w:rsidP="00EE6A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9123BB2" w14:textId="77777777" w:rsidR="0017725B" w:rsidRDefault="0017725B" w:rsidP="00EE6A96">
            <w:pPr>
              <w:rPr>
                <w:b/>
                <w:u w:val="single"/>
              </w:rPr>
            </w:pPr>
          </w:p>
          <w:p w14:paraId="2B88F31B" w14:textId="77777777" w:rsidR="00B34821" w:rsidRPr="00B34821" w:rsidRDefault="00350A5C" w:rsidP="00EE6A96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3FE32BAD" w14:textId="77777777" w:rsidR="0017725B" w:rsidRPr="0017725B" w:rsidRDefault="0017725B" w:rsidP="00EE6A96">
            <w:pPr>
              <w:rPr>
                <w:b/>
                <w:u w:val="single"/>
              </w:rPr>
            </w:pPr>
          </w:p>
        </w:tc>
      </w:tr>
      <w:tr w:rsidR="00BE492C" w14:paraId="377F4231" w14:textId="77777777" w:rsidTr="00345119">
        <w:tc>
          <w:tcPr>
            <w:tcW w:w="9576" w:type="dxa"/>
          </w:tcPr>
          <w:p w14:paraId="2B6FC8A2" w14:textId="77777777" w:rsidR="008423E4" w:rsidRPr="00A8133F" w:rsidRDefault="00350A5C" w:rsidP="00EE6A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A70B834" w14:textId="77777777" w:rsidR="008423E4" w:rsidRDefault="008423E4" w:rsidP="00EE6A96"/>
          <w:p w14:paraId="51579C6C" w14:textId="77777777" w:rsidR="00B34821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2918CD0D" w14:textId="77777777" w:rsidR="008423E4" w:rsidRPr="00E21FDC" w:rsidRDefault="008423E4" w:rsidP="00EE6A96">
            <w:pPr>
              <w:rPr>
                <w:b/>
              </w:rPr>
            </w:pPr>
          </w:p>
        </w:tc>
      </w:tr>
      <w:tr w:rsidR="00BE492C" w14:paraId="5419CC8C" w14:textId="77777777" w:rsidTr="00345119">
        <w:tc>
          <w:tcPr>
            <w:tcW w:w="9576" w:type="dxa"/>
          </w:tcPr>
          <w:p w14:paraId="281B1CCE" w14:textId="77777777" w:rsidR="008423E4" w:rsidRPr="00A8133F" w:rsidRDefault="00350A5C" w:rsidP="00EE6A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32CDDDC" w14:textId="77777777" w:rsidR="008423E4" w:rsidRDefault="008423E4" w:rsidP="00EE6A96"/>
          <w:p w14:paraId="5B47FE49" w14:textId="21BF6C96" w:rsidR="009C36CD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1923 amends the Code of Criminal Procedure to specify that the $7 fee deducted </w:t>
            </w:r>
            <w:r w:rsidR="0065622E">
              <w:t xml:space="preserve">by a court clerk or fee officer </w:t>
            </w:r>
            <w:r>
              <w:t xml:space="preserve">from </w:t>
            </w:r>
            <w:r w:rsidR="00084998">
              <w:t>a</w:t>
            </w:r>
            <w:r w:rsidR="0030282C">
              <w:t xml:space="preserve"> </w:t>
            </w:r>
            <w:r w:rsidR="006134F0">
              <w:t xml:space="preserve">felony </w:t>
            </w:r>
            <w:r w:rsidR="0030282C">
              <w:t>defendant's</w:t>
            </w:r>
            <w:r w:rsidR="00084998">
              <w:t xml:space="preserve"> payment of a fine ordered to repay a reward or part of a reward</w:t>
            </w:r>
            <w:r w:rsidR="0065622E">
              <w:t xml:space="preserve"> paid by a crime stoppers organization </w:t>
            </w:r>
            <w:r w:rsidR="002F3312">
              <w:t xml:space="preserve">is a reimbursement fee </w:t>
            </w:r>
            <w:r w:rsidR="006134F0">
              <w:t>for</w:t>
            </w:r>
            <w:r w:rsidR="0065622E">
              <w:t xml:space="preserve"> </w:t>
            </w:r>
            <w:r w:rsidR="00084998">
              <w:t>deposi</w:t>
            </w:r>
            <w:r w:rsidR="006134F0">
              <w:t>t</w:t>
            </w:r>
            <w:r w:rsidR="00084998">
              <w:t xml:space="preserve"> in the general fund of the county.</w:t>
            </w:r>
            <w:r w:rsidR="00383DF4">
              <w:t xml:space="preserve"> </w:t>
            </w:r>
            <w:r w:rsidR="002A51CF">
              <w:t xml:space="preserve">The bill specifies that the fee paid </w:t>
            </w:r>
            <w:r w:rsidR="002F3312">
              <w:t xml:space="preserve">on release </w:t>
            </w:r>
            <w:r w:rsidR="002A51CF">
              <w:t xml:space="preserve">by a defendant </w:t>
            </w:r>
            <w:r w:rsidR="002F3312">
              <w:t xml:space="preserve">who serves a term of confinement and treatment in a substance abuse felony punishment facility </w:t>
            </w:r>
            <w:r w:rsidR="002A51CF">
              <w:t>as a condition of community supervision for residential aftercare required as part of the defendant's treatment plan</w:t>
            </w:r>
            <w:r w:rsidR="002F3312">
              <w:t xml:space="preserve"> is a reimbursement fee. </w:t>
            </w:r>
            <w:r w:rsidR="002A51CF">
              <w:t xml:space="preserve">  </w:t>
            </w:r>
          </w:p>
          <w:p w14:paraId="73F32DA7" w14:textId="77777777" w:rsidR="00F73272" w:rsidRDefault="00F73272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32B5887" w14:textId="2C1B1F63" w:rsidR="00F73272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1923 </w:t>
            </w:r>
            <w:r w:rsidR="002A6835">
              <w:t>establishes that</w:t>
            </w:r>
            <w:r w:rsidR="00713C40">
              <w:t>, for purposes of certain Code of Criminal Procedure</w:t>
            </w:r>
            <w:r w:rsidR="006134F0">
              <w:t xml:space="preserve"> provisions</w:t>
            </w:r>
            <w:r w:rsidR="00713C40">
              <w:t xml:space="preserve"> relating to costs, fine</w:t>
            </w:r>
            <w:r w:rsidR="00F15D75">
              <w:t>s</w:t>
            </w:r>
            <w:r w:rsidR="00713C40">
              <w:t>, and fees,</w:t>
            </w:r>
            <w:r w:rsidR="002A6835">
              <w:t xml:space="preserve"> a person is considered to have been convicted in a case</w:t>
            </w:r>
            <w:r w:rsidR="00C23838">
              <w:t xml:space="preserve"> under </w:t>
            </w:r>
            <w:r w:rsidR="00383DF4">
              <w:t xml:space="preserve">the </w:t>
            </w:r>
            <w:r w:rsidR="00713C40">
              <w:t>following circumstances</w:t>
            </w:r>
            <w:r w:rsidR="002A6835">
              <w:t>:</w:t>
            </w:r>
          </w:p>
          <w:p w14:paraId="6BBE4BC9" w14:textId="77777777" w:rsidR="002A6835" w:rsidRDefault="00350A5C" w:rsidP="00EE6A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judgment, a sentence, or both a judgment and a sentence are imposed on the person;</w:t>
            </w:r>
          </w:p>
          <w:p w14:paraId="68D15D18" w14:textId="267C8D37" w:rsidR="002A6835" w:rsidRDefault="00350A5C" w:rsidP="00EE6A9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pers</w:t>
            </w:r>
            <w:r>
              <w:t>on receives community supervision, deferred adjudication, or deferred disposition; or</w:t>
            </w:r>
          </w:p>
          <w:p w14:paraId="61B557D0" w14:textId="7685EE91" w:rsidR="002A6835" w:rsidRDefault="00350A5C" w:rsidP="00EE6A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court defers final disposition of the case or imposition of the judgment and sentence.</w:t>
            </w:r>
          </w:p>
          <w:p w14:paraId="0B1E28CA" w14:textId="01259F90" w:rsidR="002A6835" w:rsidRDefault="002A6835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B67076B" w14:textId="45394CAC" w:rsidR="002A6835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1923 </w:t>
            </w:r>
            <w:r w:rsidR="00383DF4">
              <w:t>specifies that</w:t>
            </w:r>
            <w:r w:rsidR="00C23838">
              <w:t xml:space="preserve"> the </w:t>
            </w:r>
            <w:r w:rsidR="00F61CBF">
              <w:t xml:space="preserve">purpose of specified </w:t>
            </w:r>
            <w:r w:rsidR="00C23838">
              <w:t xml:space="preserve">reimbursement fees </w:t>
            </w:r>
            <w:r w:rsidR="00F61CBF">
              <w:t xml:space="preserve">paid by a defendant convicted of a felony or misdemeanor for </w:t>
            </w:r>
            <w:r w:rsidR="00C23838">
              <w:t>the services provided in the case by a peace officer</w:t>
            </w:r>
            <w:r w:rsidR="00F61CBF">
              <w:t xml:space="preserve"> are to defray the cost of such services</w:t>
            </w:r>
            <w:r w:rsidR="00213C9A">
              <w:t>.</w:t>
            </w:r>
          </w:p>
          <w:p w14:paraId="45EE6A01" w14:textId="122F00D2" w:rsidR="00213C9A" w:rsidRDefault="00213C9A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03F26E5" w14:textId="1419105B" w:rsidR="002F3312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1923 amends the Local Government Code, Parks and Wildlife Code, and Transportation Code to recl</w:t>
            </w:r>
            <w:r>
              <w:t>assify certain criminal court fines and fees as reimbursement fees.</w:t>
            </w:r>
          </w:p>
          <w:p w14:paraId="66796195" w14:textId="77777777" w:rsidR="002F3312" w:rsidRDefault="002F3312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0A4F0F9" w14:textId="423F435E" w:rsidR="00213C9A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1923 amends the Government Code to establish that </w:t>
            </w:r>
            <w:r w:rsidR="001D55F6">
              <w:t xml:space="preserve">the </w:t>
            </w:r>
            <w:r w:rsidR="007363F4">
              <w:t>provision establishing</w:t>
            </w:r>
            <w:r w:rsidR="001D55F6">
              <w:t xml:space="preserve"> </w:t>
            </w:r>
            <w:r w:rsidR="007363F4">
              <w:t xml:space="preserve">that the imposition of </w:t>
            </w:r>
            <w:r w:rsidR="001D55F6">
              <w:t xml:space="preserve">a new or amended court cost or fee </w:t>
            </w:r>
            <w:r w:rsidR="007363F4">
              <w:t xml:space="preserve">does not take effect until the next January 1 after the law takes effect does not apply to a court cost or fee if the law imposing or changing the amount of the cost or fee takes effect on or after the January 1 following the regular session of the legislature at which the law was enacted.  </w:t>
            </w:r>
          </w:p>
          <w:p w14:paraId="43D96380" w14:textId="3E7BD175" w:rsidR="00446475" w:rsidRDefault="00446475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F40E8EF" w14:textId="77777777" w:rsidR="008423E4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1923</w:t>
            </w:r>
            <w:r>
              <w:t xml:space="preserve"> repeals</w:t>
            </w:r>
            <w:r w:rsidR="004109FF">
              <w:t xml:space="preserve"> Article</w:t>
            </w:r>
            <w:r w:rsidR="00713C40">
              <w:t>s</w:t>
            </w:r>
            <w:r w:rsidR="004109FF">
              <w:t xml:space="preserve"> 102.011(j) and 102.014(e)</w:t>
            </w:r>
            <w:r w:rsidR="00713C40">
              <w:t>,</w:t>
            </w:r>
            <w:r>
              <w:t xml:space="preserve"> Code of Criminal Procedure</w:t>
            </w:r>
            <w:r w:rsidR="00713C40">
              <w:t>.</w:t>
            </w:r>
          </w:p>
          <w:p w14:paraId="40F00C6F" w14:textId="05ECFA09" w:rsidR="00EE6A96" w:rsidRPr="00835628" w:rsidRDefault="00EE6A96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E492C" w14:paraId="51363D2B" w14:textId="77777777" w:rsidTr="00345119">
        <w:tc>
          <w:tcPr>
            <w:tcW w:w="9576" w:type="dxa"/>
          </w:tcPr>
          <w:p w14:paraId="7CC908F9" w14:textId="77777777" w:rsidR="008423E4" w:rsidRPr="00A8133F" w:rsidRDefault="00350A5C" w:rsidP="00EE6A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76A2ACC" w14:textId="77777777" w:rsidR="008423E4" w:rsidRDefault="008423E4" w:rsidP="00EE6A96"/>
          <w:p w14:paraId="4EF8B524" w14:textId="181480DE" w:rsidR="008423E4" w:rsidRPr="003624F2" w:rsidRDefault="00350A5C" w:rsidP="00EE6A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64A0889" w14:textId="77777777" w:rsidR="008423E4" w:rsidRPr="00233FDB" w:rsidRDefault="008423E4" w:rsidP="00EE6A96">
            <w:pPr>
              <w:rPr>
                <w:b/>
              </w:rPr>
            </w:pPr>
          </w:p>
        </w:tc>
      </w:tr>
    </w:tbl>
    <w:p w14:paraId="28D58CD0" w14:textId="77777777" w:rsidR="008423E4" w:rsidRPr="00BE0E75" w:rsidRDefault="008423E4" w:rsidP="00EE6A96">
      <w:pPr>
        <w:jc w:val="both"/>
        <w:rPr>
          <w:rFonts w:ascii="Arial" w:hAnsi="Arial"/>
          <w:sz w:val="16"/>
          <w:szCs w:val="16"/>
        </w:rPr>
      </w:pPr>
    </w:p>
    <w:p w14:paraId="2387DA83" w14:textId="77777777" w:rsidR="004108C3" w:rsidRPr="008423E4" w:rsidRDefault="004108C3" w:rsidP="00EE6A9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7921" w14:textId="77777777" w:rsidR="00000000" w:rsidRDefault="00350A5C">
      <w:r>
        <w:separator/>
      </w:r>
    </w:p>
  </w:endnote>
  <w:endnote w:type="continuationSeparator" w:id="0">
    <w:p w14:paraId="2A3932BB" w14:textId="77777777" w:rsidR="00000000" w:rsidRDefault="0035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44F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492C" w14:paraId="452F7C96" w14:textId="77777777" w:rsidTr="009C1E9A">
      <w:trPr>
        <w:cantSplit/>
      </w:trPr>
      <w:tc>
        <w:tcPr>
          <w:tcW w:w="0" w:type="pct"/>
        </w:tcPr>
        <w:p w14:paraId="4C68BA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D7F0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339AD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C76F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30AECE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92C" w14:paraId="4DA258BE" w14:textId="77777777" w:rsidTr="009C1E9A">
      <w:trPr>
        <w:cantSplit/>
      </w:trPr>
      <w:tc>
        <w:tcPr>
          <w:tcW w:w="0" w:type="pct"/>
        </w:tcPr>
        <w:p w14:paraId="49CB6D7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3277EC" w14:textId="77777777" w:rsidR="00EC379B" w:rsidRPr="009C1E9A" w:rsidRDefault="00350A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25872</w:t>
          </w:r>
        </w:p>
      </w:tc>
      <w:tc>
        <w:tcPr>
          <w:tcW w:w="2453" w:type="pct"/>
        </w:tcPr>
        <w:p w14:paraId="572F537A" w14:textId="11C05948" w:rsidR="00EC379B" w:rsidRDefault="00350A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C0D89">
            <w:t>21.130.1561</w:t>
          </w:r>
          <w:r>
            <w:fldChar w:fldCharType="end"/>
          </w:r>
        </w:p>
      </w:tc>
    </w:tr>
    <w:tr w:rsidR="00BE492C" w14:paraId="60482880" w14:textId="77777777" w:rsidTr="009C1E9A">
      <w:trPr>
        <w:cantSplit/>
      </w:trPr>
      <w:tc>
        <w:tcPr>
          <w:tcW w:w="0" w:type="pct"/>
        </w:tcPr>
        <w:p w14:paraId="683360A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104C5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A4CDB9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19084E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492C" w14:paraId="6091152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469D60" w14:textId="6FA3A7CD" w:rsidR="00EC379B" w:rsidRDefault="00350A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6A9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1054C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8E588A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3D8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6D740" w14:textId="77777777" w:rsidR="00000000" w:rsidRDefault="00350A5C">
      <w:r>
        <w:separator/>
      </w:r>
    </w:p>
  </w:footnote>
  <w:footnote w:type="continuationSeparator" w:id="0">
    <w:p w14:paraId="5B0944E1" w14:textId="77777777" w:rsidR="00000000" w:rsidRDefault="0035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A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164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5D2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AC6"/>
    <w:multiLevelType w:val="hybridMultilevel"/>
    <w:tmpl w:val="0A2807B4"/>
    <w:lvl w:ilvl="0" w:tplc="8F54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E1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43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D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83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C7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CF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A6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83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3ED9"/>
    <w:multiLevelType w:val="hybridMultilevel"/>
    <w:tmpl w:val="A31251EE"/>
    <w:lvl w:ilvl="0" w:tplc="4E5C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0C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9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6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C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C4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A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ED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E3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998"/>
    <w:rsid w:val="00086788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F36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5F6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C9A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2F4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1E8E"/>
    <w:rsid w:val="002874E3"/>
    <w:rsid w:val="00287656"/>
    <w:rsid w:val="00291518"/>
    <w:rsid w:val="00296FF0"/>
    <w:rsid w:val="002A17C0"/>
    <w:rsid w:val="002A48DF"/>
    <w:rsid w:val="002A51CF"/>
    <w:rsid w:val="002A5A84"/>
    <w:rsid w:val="002A6835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B3A"/>
    <w:rsid w:val="002D305A"/>
    <w:rsid w:val="002E21B8"/>
    <w:rsid w:val="002E7DF9"/>
    <w:rsid w:val="002F097B"/>
    <w:rsid w:val="002F3111"/>
    <w:rsid w:val="002F3312"/>
    <w:rsid w:val="002F4AEC"/>
    <w:rsid w:val="002F795D"/>
    <w:rsid w:val="00300823"/>
    <w:rsid w:val="00300D7F"/>
    <w:rsid w:val="00301638"/>
    <w:rsid w:val="0030282C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0A5C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DF4"/>
    <w:rsid w:val="003847E8"/>
    <w:rsid w:val="0038731D"/>
    <w:rsid w:val="00387B60"/>
    <w:rsid w:val="00390098"/>
    <w:rsid w:val="00392DA1"/>
    <w:rsid w:val="00392E37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9FF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475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4F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622E"/>
    <w:rsid w:val="00660B1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C40"/>
    <w:rsid w:val="00717739"/>
    <w:rsid w:val="00717DE4"/>
    <w:rsid w:val="00721724"/>
    <w:rsid w:val="00722EC5"/>
    <w:rsid w:val="00723326"/>
    <w:rsid w:val="00724252"/>
    <w:rsid w:val="00725DAB"/>
    <w:rsid w:val="00727E7A"/>
    <w:rsid w:val="0073163C"/>
    <w:rsid w:val="00731DE3"/>
    <w:rsid w:val="00733C85"/>
    <w:rsid w:val="00735B9D"/>
    <w:rsid w:val="007363F4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2EA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DD6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A06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BB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0D89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82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636"/>
    <w:rsid w:val="00B90097"/>
    <w:rsid w:val="00B90999"/>
    <w:rsid w:val="00B91AD7"/>
    <w:rsid w:val="00B92D23"/>
    <w:rsid w:val="00B95050"/>
    <w:rsid w:val="00B95BC8"/>
    <w:rsid w:val="00B96E87"/>
    <w:rsid w:val="00BA146A"/>
    <w:rsid w:val="00BA32EE"/>
    <w:rsid w:val="00BB5B36"/>
    <w:rsid w:val="00BB6FFE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1D3"/>
    <w:rsid w:val="00BE1789"/>
    <w:rsid w:val="00BE3634"/>
    <w:rsid w:val="00BE3E30"/>
    <w:rsid w:val="00BE492C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838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11F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3FFA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4E1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93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3176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A96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D75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CBF"/>
    <w:rsid w:val="00F6514B"/>
    <w:rsid w:val="00F6587F"/>
    <w:rsid w:val="00F67981"/>
    <w:rsid w:val="00F706CA"/>
    <w:rsid w:val="00F70F8D"/>
    <w:rsid w:val="00F71C5A"/>
    <w:rsid w:val="00F73272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B7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3C7C83-6DB4-4A7B-AEA1-C20ED0A7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3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3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272"/>
    <w:rPr>
      <w:b/>
      <w:bCs/>
    </w:rPr>
  </w:style>
  <w:style w:type="paragraph" w:styleId="Revision">
    <w:name w:val="Revision"/>
    <w:hidden/>
    <w:uiPriority w:val="99"/>
    <w:semiHidden/>
    <w:rsid w:val="00F73272"/>
    <w:rPr>
      <w:sz w:val="24"/>
      <w:szCs w:val="24"/>
    </w:rPr>
  </w:style>
  <w:style w:type="character" w:styleId="Hyperlink">
    <w:name w:val="Hyperlink"/>
    <w:basedOn w:val="DefaultParagraphFont"/>
    <w:unhideWhenUsed/>
    <w:rsid w:val="00BB6FFE"/>
    <w:rPr>
      <w:color w:val="0000FF" w:themeColor="hyperlink"/>
      <w:u w:val="single"/>
    </w:rPr>
  </w:style>
  <w:style w:type="paragraph" w:customStyle="1" w:styleId="left">
    <w:name w:val="left"/>
    <w:basedOn w:val="Normal"/>
    <w:rsid w:val="004109F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725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2810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SB01923 (Committee Report (Unamended))</vt:lpstr>
    </vt:vector>
  </TitlesOfParts>
  <Company>State of Texas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25872</dc:subject>
  <dc:creator>State of Texas</dc:creator>
  <dc:description>SB 1923 by Zaffirini-(H)Judiciary &amp; Civil Jurisprudence</dc:description>
  <cp:lastModifiedBy>Damian Duarte</cp:lastModifiedBy>
  <cp:revision>2</cp:revision>
  <cp:lastPrinted>2003-11-26T17:21:00Z</cp:lastPrinted>
  <dcterms:created xsi:type="dcterms:W3CDTF">2021-05-18T19:50:00Z</dcterms:created>
  <dcterms:modified xsi:type="dcterms:W3CDTF">2021-05-18T19:50:00Z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21.130.1561</vt:lpwstr>
  </property>
</Properties>
</file>