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BA2" w:rsidRDefault="00DF5BA2" w:rsidP="000F1DF9">
      <w:pPr>
        <w:spacing w:after="0" w:line="240" w:lineRule="auto"/>
        <w:jc w:val="center"/>
        <w:rPr>
          <w:rFonts w:cs="Times New Roman"/>
          <w:b/>
          <w:szCs w:val="24"/>
          <w:u w:val="single"/>
        </w:rPr>
      </w:pPr>
      <w:r>
        <w:rPr>
          <w:rFonts w:cs="Times New Roman"/>
          <w:b/>
          <w:szCs w:val="24"/>
          <w:u w:val="single"/>
        </w:rPr>
        <w:t>.</w:t>
      </w:r>
    </w:p>
    <w:p w:rsidR="00DF5BA2" w:rsidRDefault="00DF5BA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41E6056F61B46D1BF83A120191C030F"/>
          </w:placeholder>
        </w:sdtPr>
        <w:sdtContent>
          <w:r w:rsidRPr="005C2A78">
            <w:rPr>
              <w:rFonts w:cs="Times New Roman"/>
              <w:b/>
              <w:szCs w:val="24"/>
              <w:u w:val="single"/>
            </w:rPr>
            <w:t>BILL ANALYSIS</w:t>
          </w:r>
        </w:sdtContent>
      </w:sdt>
    </w:p>
    <w:p w:rsidR="00DF5BA2" w:rsidRPr="00585C31" w:rsidRDefault="00DF5BA2" w:rsidP="000F1DF9">
      <w:pPr>
        <w:spacing w:after="0" w:line="240" w:lineRule="auto"/>
        <w:rPr>
          <w:rFonts w:cs="Times New Roman"/>
          <w:szCs w:val="24"/>
        </w:rPr>
      </w:pPr>
    </w:p>
    <w:p w:rsidR="00DF5BA2" w:rsidRPr="00585C31" w:rsidRDefault="00DF5BA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F5BA2" w:rsidTr="000F1DF9">
        <w:tc>
          <w:tcPr>
            <w:tcW w:w="2718" w:type="dxa"/>
          </w:tcPr>
          <w:p w:rsidR="00DF5BA2" w:rsidRPr="005C2A78" w:rsidRDefault="00DF5BA2" w:rsidP="006D756B">
            <w:pPr>
              <w:rPr>
                <w:rFonts w:cs="Times New Roman"/>
                <w:szCs w:val="24"/>
              </w:rPr>
            </w:pPr>
            <w:sdt>
              <w:sdtPr>
                <w:rPr>
                  <w:rFonts w:cs="Times New Roman"/>
                  <w:szCs w:val="24"/>
                </w:rPr>
                <w:alias w:val="Agency Title"/>
                <w:tag w:val="AgencyTitleContentControl"/>
                <w:id w:val="1920747753"/>
                <w:lock w:val="sdtContentLocked"/>
                <w:placeholder>
                  <w:docPart w:val="B26166BB918F40FB8FCF4278B41C76B0"/>
                </w:placeholder>
              </w:sdtPr>
              <w:sdtEndPr>
                <w:rPr>
                  <w:rFonts w:cstheme="minorBidi"/>
                  <w:szCs w:val="22"/>
                </w:rPr>
              </w:sdtEndPr>
              <w:sdtContent>
                <w:r>
                  <w:rPr>
                    <w:rFonts w:cs="Times New Roman"/>
                    <w:szCs w:val="24"/>
                  </w:rPr>
                  <w:t>Senate Research Center</w:t>
                </w:r>
              </w:sdtContent>
            </w:sdt>
          </w:p>
        </w:tc>
        <w:tc>
          <w:tcPr>
            <w:tcW w:w="6858" w:type="dxa"/>
          </w:tcPr>
          <w:p w:rsidR="00DF5BA2" w:rsidRPr="00FF6471" w:rsidRDefault="00DF5BA2" w:rsidP="000F1DF9">
            <w:pPr>
              <w:jc w:val="right"/>
              <w:rPr>
                <w:rFonts w:cs="Times New Roman"/>
                <w:szCs w:val="24"/>
              </w:rPr>
            </w:pPr>
            <w:sdt>
              <w:sdtPr>
                <w:rPr>
                  <w:rFonts w:cs="Times New Roman"/>
                  <w:szCs w:val="24"/>
                </w:rPr>
                <w:alias w:val="Bill Number"/>
                <w:tag w:val="BillNumberOne"/>
                <w:id w:val="-410784069"/>
                <w:lock w:val="sdtContentLocked"/>
                <w:placeholder>
                  <w:docPart w:val="0E59266FEF004F49A46773AE96B50F59"/>
                </w:placeholder>
              </w:sdtPr>
              <w:sdtContent>
                <w:r>
                  <w:rPr>
                    <w:rFonts w:cs="Times New Roman"/>
                    <w:szCs w:val="24"/>
                  </w:rPr>
                  <w:t>S.B. 1963</w:t>
                </w:r>
              </w:sdtContent>
            </w:sdt>
          </w:p>
        </w:tc>
      </w:tr>
      <w:tr w:rsidR="00DF5BA2" w:rsidTr="000F1DF9">
        <w:sdt>
          <w:sdtPr>
            <w:rPr>
              <w:rFonts w:cs="Times New Roman"/>
              <w:szCs w:val="24"/>
            </w:rPr>
            <w:alias w:val="TLCNumber"/>
            <w:tag w:val="TLCNumber"/>
            <w:id w:val="-542600604"/>
            <w:lock w:val="sdtLocked"/>
            <w:placeholder>
              <w:docPart w:val="02EAF5CDC6EA48F6AA515279DDB27E65"/>
            </w:placeholder>
          </w:sdtPr>
          <w:sdtContent>
            <w:tc>
              <w:tcPr>
                <w:tcW w:w="2718" w:type="dxa"/>
              </w:tcPr>
              <w:p w:rsidR="00DF5BA2" w:rsidRPr="000F1DF9" w:rsidRDefault="00DF5BA2" w:rsidP="00C65088">
                <w:pPr>
                  <w:rPr>
                    <w:rFonts w:cs="Times New Roman"/>
                    <w:szCs w:val="24"/>
                  </w:rPr>
                </w:pPr>
                <w:r>
                  <w:rPr>
                    <w:rFonts w:cs="Times New Roman"/>
                    <w:szCs w:val="24"/>
                  </w:rPr>
                  <w:t>87R11925 KJE-D</w:t>
                </w:r>
              </w:p>
            </w:tc>
          </w:sdtContent>
        </w:sdt>
        <w:tc>
          <w:tcPr>
            <w:tcW w:w="6858" w:type="dxa"/>
          </w:tcPr>
          <w:p w:rsidR="00DF5BA2" w:rsidRPr="005C2A78" w:rsidRDefault="00DF5BA2" w:rsidP="00073EDD">
            <w:pPr>
              <w:jc w:val="right"/>
              <w:rPr>
                <w:rFonts w:cs="Times New Roman"/>
                <w:szCs w:val="24"/>
              </w:rPr>
            </w:pPr>
            <w:sdt>
              <w:sdtPr>
                <w:rPr>
                  <w:rFonts w:cs="Times New Roman"/>
                  <w:szCs w:val="24"/>
                </w:rPr>
                <w:alias w:val="Author Label"/>
                <w:tag w:val="By"/>
                <w:id w:val="72399597"/>
                <w:lock w:val="sdtLocked"/>
                <w:placeholder>
                  <w:docPart w:val="3B58B6257D79483C9A9DBB98657FCCE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6CEE12A9AFF4D8DBEC7E98039EB8FAE"/>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3EB4ED87821F4434B9810EE7F6596017"/>
                </w:placeholder>
                <w:showingPlcHdr/>
              </w:sdtPr>
              <w:sdtContent/>
            </w:sdt>
            <w:sdt>
              <w:sdtPr>
                <w:rPr>
                  <w:rFonts w:cs="Times New Roman"/>
                  <w:szCs w:val="24"/>
                </w:rPr>
                <w:alias w:val="DualSponsor"/>
                <w:tag w:val="DualSponsor"/>
                <w:id w:val="1029379812"/>
                <w:lock w:val="sdtContentLocked"/>
                <w:placeholder>
                  <w:docPart w:val="8BDB55BAFBBB4313A628107A0B9A71A5"/>
                </w:placeholder>
                <w:showingPlcHdr/>
              </w:sdtPr>
              <w:sdtContent/>
            </w:sdt>
          </w:p>
        </w:tc>
      </w:tr>
      <w:tr w:rsidR="00DF5BA2" w:rsidTr="000F1DF9">
        <w:tc>
          <w:tcPr>
            <w:tcW w:w="2718" w:type="dxa"/>
          </w:tcPr>
          <w:p w:rsidR="00DF5BA2" w:rsidRPr="00BC7495" w:rsidRDefault="00DF5BA2" w:rsidP="000F1DF9">
            <w:pPr>
              <w:rPr>
                <w:rFonts w:cs="Times New Roman"/>
                <w:szCs w:val="24"/>
              </w:rPr>
            </w:pPr>
          </w:p>
        </w:tc>
        <w:sdt>
          <w:sdtPr>
            <w:rPr>
              <w:rFonts w:cs="Times New Roman"/>
              <w:szCs w:val="24"/>
            </w:rPr>
            <w:alias w:val="Committee"/>
            <w:tag w:val="Committee"/>
            <w:id w:val="1914272295"/>
            <w:lock w:val="sdtContentLocked"/>
            <w:placeholder>
              <w:docPart w:val="F0D17400FB394E4DA8580212547C92EA"/>
            </w:placeholder>
          </w:sdtPr>
          <w:sdtContent>
            <w:tc>
              <w:tcPr>
                <w:tcW w:w="6858" w:type="dxa"/>
              </w:tcPr>
              <w:p w:rsidR="00DF5BA2" w:rsidRPr="00FF6471" w:rsidRDefault="00DF5BA2" w:rsidP="000F1DF9">
                <w:pPr>
                  <w:jc w:val="right"/>
                  <w:rPr>
                    <w:rFonts w:cs="Times New Roman"/>
                    <w:szCs w:val="24"/>
                  </w:rPr>
                </w:pPr>
                <w:r>
                  <w:rPr>
                    <w:rFonts w:cs="Times New Roman"/>
                    <w:szCs w:val="24"/>
                  </w:rPr>
                  <w:t>Higher Education</w:t>
                </w:r>
              </w:p>
            </w:tc>
          </w:sdtContent>
        </w:sdt>
      </w:tr>
      <w:tr w:rsidR="00DF5BA2" w:rsidTr="000F1DF9">
        <w:tc>
          <w:tcPr>
            <w:tcW w:w="2718" w:type="dxa"/>
          </w:tcPr>
          <w:p w:rsidR="00DF5BA2" w:rsidRPr="00BC7495" w:rsidRDefault="00DF5BA2" w:rsidP="000F1DF9">
            <w:pPr>
              <w:rPr>
                <w:rFonts w:cs="Times New Roman"/>
                <w:szCs w:val="24"/>
              </w:rPr>
            </w:pPr>
          </w:p>
        </w:tc>
        <w:sdt>
          <w:sdtPr>
            <w:rPr>
              <w:rFonts w:cs="Times New Roman"/>
              <w:szCs w:val="24"/>
            </w:rPr>
            <w:alias w:val="Date"/>
            <w:tag w:val="DateContentControl"/>
            <w:id w:val="1178081906"/>
            <w:lock w:val="sdtLocked"/>
            <w:placeholder>
              <w:docPart w:val="FC189446103F4ACA8141701D1D7C7B4F"/>
            </w:placeholder>
            <w:date w:fullDate="2021-04-06T00:00:00Z">
              <w:dateFormat w:val="M/d/yyyy"/>
              <w:lid w:val="en-US"/>
              <w:storeMappedDataAs w:val="dateTime"/>
              <w:calendar w:val="gregorian"/>
            </w:date>
          </w:sdtPr>
          <w:sdtContent>
            <w:tc>
              <w:tcPr>
                <w:tcW w:w="6858" w:type="dxa"/>
              </w:tcPr>
              <w:p w:rsidR="00DF5BA2" w:rsidRPr="00FF6471" w:rsidRDefault="00DF5BA2" w:rsidP="000F1DF9">
                <w:pPr>
                  <w:jc w:val="right"/>
                  <w:rPr>
                    <w:rFonts w:cs="Times New Roman"/>
                    <w:szCs w:val="24"/>
                  </w:rPr>
                </w:pPr>
                <w:r>
                  <w:rPr>
                    <w:rFonts w:cs="Times New Roman"/>
                    <w:szCs w:val="24"/>
                  </w:rPr>
                  <w:t>4/6/2021</w:t>
                </w:r>
              </w:p>
            </w:tc>
          </w:sdtContent>
        </w:sdt>
      </w:tr>
      <w:tr w:rsidR="00DF5BA2" w:rsidTr="000F1DF9">
        <w:tc>
          <w:tcPr>
            <w:tcW w:w="2718" w:type="dxa"/>
          </w:tcPr>
          <w:p w:rsidR="00DF5BA2" w:rsidRPr="00BC7495" w:rsidRDefault="00DF5BA2" w:rsidP="000F1DF9">
            <w:pPr>
              <w:rPr>
                <w:rFonts w:cs="Times New Roman"/>
                <w:szCs w:val="24"/>
              </w:rPr>
            </w:pPr>
          </w:p>
        </w:tc>
        <w:sdt>
          <w:sdtPr>
            <w:rPr>
              <w:rFonts w:cs="Times New Roman"/>
              <w:szCs w:val="24"/>
            </w:rPr>
            <w:alias w:val="BA Version"/>
            <w:tag w:val="BAVersion"/>
            <w:id w:val="-1685590809"/>
            <w:lock w:val="sdtContentLocked"/>
            <w:placeholder>
              <w:docPart w:val="7C971A44CB934AEB966D277CC4503740"/>
            </w:placeholder>
          </w:sdtPr>
          <w:sdtContent>
            <w:tc>
              <w:tcPr>
                <w:tcW w:w="6858" w:type="dxa"/>
              </w:tcPr>
              <w:p w:rsidR="00DF5BA2" w:rsidRPr="00FF6471" w:rsidRDefault="00DF5BA2" w:rsidP="000F1DF9">
                <w:pPr>
                  <w:jc w:val="right"/>
                  <w:rPr>
                    <w:rFonts w:cs="Times New Roman"/>
                    <w:szCs w:val="24"/>
                  </w:rPr>
                </w:pPr>
                <w:r>
                  <w:rPr>
                    <w:rFonts w:cs="Times New Roman"/>
                    <w:szCs w:val="24"/>
                  </w:rPr>
                  <w:t>As Filed</w:t>
                </w:r>
              </w:p>
            </w:tc>
          </w:sdtContent>
        </w:sdt>
      </w:tr>
    </w:tbl>
    <w:p w:rsidR="00DF5BA2" w:rsidRPr="00FF6471" w:rsidRDefault="00DF5BA2" w:rsidP="000F1DF9">
      <w:pPr>
        <w:spacing w:after="0" w:line="240" w:lineRule="auto"/>
        <w:rPr>
          <w:rFonts w:cs="Times New Roman"/>
          <w:szCs w:val="24"/>
        </w:rPr>
      </w:pPr>
    </w:p>
    <w:p w:rsidR="00DF5BA2" w:rsidRPr="00FF6471" w:rsidRDefault="00DF5BA2" w:rsidP="000F1DF9">
      <w:pPr>
        <w:spacing w:after="0" w:line="240" w:lineRule="auto"/>
        <w:rPr>
          <w:rFonts w:cs="Times New Roman"/>
          <w:szCs w:val="24"/>
        </w:rPr>
      </w:pPr>
    </w:p>
    <w:p w:rsidR="00DF5BA2" w:rsidRPr="00FF6471" w:rsidRDefault="00DF5BA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4A24AA7DEE845619CBD02530CA8937C"/>
        </w:placeholder>
      </w:sdtPr>
      <w:sdtContent>
        <w:p w:rsidR="00DF5BA2" w:rsidRDefault="00DF5BA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30C5CB25BDE44198D1089EFE7EEC4F5"/>
        </w:placeholder>
      </w:sdtPr>
      <w:sdtContent>
        <w:p w:rsidR="00DF5BA2" w:rsidRDefault="00DF5BA2" w:rsidP="00DF5BA2">
          <w:pPr>
            <w:pStyle w:val="NormalWeb"/>
            <w:spacing w:before="0" w:beforeAutospacing="0" w:after="0" w:afterAutospacing="0"/>
            <w:jc w:val="both"/>
            <w:divId w:val="1978073854"/>
            <w:rPr>
              <w:rFonts w:eastAsia="Times New Roman" w:cstheme="minorBidi"/>
              <w:bCs/>
              <w:szCs w:val="22"/>
            </w:rPr>
          </w:pPr>
        </w:p>
        <w:p w:rsidR="00DF5BA2" w:rsidRDefault="00DF5BA2" w:rsidP="00DF5BA2">
          <w:pPr>
            <w:pStyle w:val="NormalWeb"/>
            <w:spacing w:before="0" w:beforeAutospacing="0" w:after="0" w:afterAutospacing="0"/>
            <w:jc w:val="both"/>
            <w:divId w:val="1978073854"/>
            <w:rPr>
              <w:color w:val="000000"/>
            </w:rPr>
          </w:pPr>
          <w:r w:rsidRPr="0034761A">
            <w:rPr>
              <w:color w:val="000000"/>
            </w:rPr>
            <w:t>S</w:t>
          </w:r>
          <w:r>
            <w:rPr>
              <w:color w:val="000000"/>
            </w:rPr>
            <w:t>.</w:t>
          </w:r>
          <w:r w:rsidRPr="0034761A">
            <w:rPr>
              <w:color w:val="000000"/>
            </w:rPr>
            <w:t>B</w:t>
          </w:r>
          <w:r>
            <w:rPr>
              <w:color w:val="000000"/>
            </w:rPr>
            <w:t>.</w:t>
          </w:r>
          <w:r w:rsidRPr="0034761A">
            <w:rPr>
              <w:color w:val="000000"/>
            </w:rPr>
            <w:t xml:space="preserve"> 25, passed in the 86th Legislature requires general academic teaching institutions to provide annually to the </w:t>
          </w:r>
          <w:r>
            <w:rPr>
              <w:color w:val="000000"/>
            </w:rPr>
            <w:t>Texas Higher Education Coordinating Board (THECB) and the l</w:t>
          </w:r>
          <w:r w:rsidRPr="0034761A">
            <w:rPr>
              <w:color w:val="000000"/>
            </w:rPr>
            <w:t>egislature a report describing nontransferable credit for transfer students. Specifically, institutions are required to report any courses in the Lower Division Academic Course Guide Manual for which a student who transfers to the institution from another institution of higher education is not granted: academic credit at the receiving institution; or if the student has declared a major and has not changed majors, aca</w:t>
          </w:r>
          <w:r>
            <w:rPr>
              <w:color w:val="000000"/>
            </w:rPr>
            <w:t>demic credit toward the student'</w:t>
          </w:r>
          <w:r w:rsidRPr="0034761A">
            <w:rPr>
              <w:color w:val="000000"/>
            </w:rPr>
            <w:t xml:space="preserve">s major at the receiving institution. </w:t>
          </w:r>
        </w:p>
        <w:p w:rsidR="00DF5BA2" w:rsidRPr="0034761A" w:rsidRDefault="00DF5BA2" w:rsidP="00DF5BA2">
          <w:pPr>
            <w:pStyle w:val="NormalWeb"/>
            <w:spacing w:before="0" w:beforeAutospacing="0" w:after="0" w:afterAutospacing="0"/>
            <w:jc w:val="both"/>
            <w:divId w:val="1978073854"/>
            <w:rPr>
              <w:color w:val="000000"/>
            </w:rPr>
          </w:pPr>
        </w:p>
        <w:p w:rsidR="00DF5BA2" w:rsidRDefault="00DF5BA2" w:rsidP="00DF5BA2">
          <w:pPr>
            <w:pStyle w:val="NormalWeb"/>
            <w:spacing w:before="0" w:beforeAutospacing="0" w:after="0" w:afterAutospacing="0"/>
            <w:jc w:val="both"/>
            <w:divId w:val="1978073854"/>
            <w:rPr>
              <w:color w:val="000000"/>
            </w:rPr>
          </w:pPr>
          <w:r w:rsidRPr="0034761A">
            <w:rPr>
              <w:color w:val="000000"/>
            </w:rPr>
            <w:t>The report must indicate the course name and type, which institution of higher education</w:t>
          </w:r>
          <w:r>
            <w:rPr>
              <w:color w:val="000000"/>
            </w:rPr>
            <w:t xml:space="preserve"> (HEI)</w:t>
          </w:r>
          <w:r w:rsidRPr="0034761A">
            <w:rPr>
              <w:color w:val="000000"/>
            </w:rPr>
            <w:t xml:space="preserve"> provided academic credit for the course, and the reason why the receiving institution did not grant academic credit for the course. Public community colleges are required to report courses taken by students who, during the preceding academic year, transferred to a general academic teaching institution or earned an associate degree at the college. </w:t>
          </w:r>
        </w:p>
        <w:p w:rsidR="00DF5BA2" w:rsidRDefault="00DF5BA2" w:rsidP="00DF5BA2">
          <w:pPr>
            <w:pStyle w:val="NormalWeb"/>
            <w:spacing w:before="0" w:beforeAutospacing="0" w:after="0" w:afterAutospacing="0"/>
            <w:jc w:val="both"/>
            <w:divId w:val="1978073854"/>
            <w:rPr>
              <w:color w:val="000000"/>
            </w:rPr>
          </w:pPr>
        </w:p>
        <w:p w:rsidR="00DF5BA2" w:rsidRDefault="00DF5BA2" w:rsidP="00DF5BA2">
          <w:pPr>
            <w:pStyle w:val="NormalWeb"/>
            <w:spacing w:before="0" w:beforeAutospacing="0" w:after="0" w:afterAutospacing="0"/>
            <w:jc w:val="both"/>
            <w:divId w:val="1978073854"/>
            <w:rPr>
              <w:color w:val="000000"/>
            </w:rPr>
          </w:pPr>
          <w:r w:rsidRPr="0034761A">
            <w:rPr>
              <w:color w:val="000000"/>
            </w:rPr>
            <w:t xml:space="preserve">The report must include the total number of courses attempted and completed at the college disaggregated by lower-division academic courses or workforce education courses, courses not in the core curriculum, and dual credit courses. Institutions began submitting data to </w:t>
          </w:r>
          <w:r>
            <w:rPr>
              <w:color w:val="000000"/>
            </w:rPr>
            <w:t>THECB</w:t>
          </w:r>
          <w:r w:rsidRPr="0034761A">
            <w:rPr>
              <w:color w:val="000000"/>
            </w:rPr>
            <w:t xml:space="preserve"> in November. </w:t>
          </w:r>
        </w:p>
        <w:p w:rsidR="00DF5BA2" w:rsidRPr="0034761A" w:rsidRDefault="00DF5BA2" w:rsidP="00DF5BA2">
          <w:pPr>
            <w:pStyle w:val="NormalWeb"/>
            <w:spacing w:before="0" w:beforeAutospacing="0" w:after="0" w:afterAutospacing="0"/>
            <w:jc w:val="both"/>
            <w:divId w:val="1978073854"/>
            <w:rPr>
              <w:color w:val="000000"/>
            </w:rPr>
          </w:pPr>
        </w:p>
        <w:p w:rsidR="00DF5BA2" w:rsidRPr="0034761A" w:rsidRDefault="00DF5BA2" w:rsidP="00DF5BA2">
          <w:pPr>
            <w:pStyle w:val="NormalWeb"/>
            <w:spacing w:before="0" w:beforeAutospacing="0" w:after="0" w:afterAutospacing="0"/>
            <w:jc w:val="both"/>
            <w:divId w:val="1978073854"/>
            <w:rPr>
              <w:color w:val="000000"/>
            </w:rPr>
          </w:pPr>
          <w:r w:rsidRPr="0034761A">
            <w:rPr>
              <w:color w:val="000000"/>
            </w:rPr>
            <w:t>The first report was due March 1, 2021. Using this statutory requirements above, S</w:t>
          </w:r>
          <w:r>
            <w:rPr>
              <w:color w:val="000000"/>
            </w:rPr>
            <w:t>.</w:t>
          </w:r>
          <w:r w:rsidRPr="0034761A">
            <w:rPr>
              <w:color w:val="000000"/>
            </w:rPr>
            <w:t>B</w:t>
          </w:r>
          <w:r>
            <w:rPr>
              <w:color w:val="000000"/>
            </w:rPr>
            <w:t>.</w:t>
          </w:r>
          <w:r w:rsidRPr="0034761A">
            <w:rPr>
              <w:color w:val="000000"/>
            </w:rPr>
            <w:t xml:space="preserve"> 1963 would require</w:t>
          </w:r>
          <w:r>
            <w:rPr>
              <w:color w:val="000000"/>
            </w:rPr>
            <w:t xml:space="preserve"> HEIs </w:t>
          </w:r>
          <w:r w:rsidRPr="0034761A">
            <w:rPr>
              <w:color w:val="000000"/>
            </w:rPr>
            <w:t>to place on their website a transferability report card that would indicate the number of credit hours transferred to their campus yearly and the percentage of those hours that were successfully accepted for transfer towards a degree. This would be their transferability percentage rate. The information would come from the before-mentioned report that is submitted to THECB and THECB w</w:t>
          </w:r>
          <w:r>
            <w:rPr>
              <w:color w:val="000000"/>
            </w:rPr>
            <w:t>ould work, in conjunction with 2-year and 4-year</w:t>
          </w:r>
          <w:r w:rsidRPr="0034761A">
            <w:rPr>
              <w:color w:val="000000"/>
            </w:rPr>
            <w:t xml:space="preserve"> </w:t>
          </w:r>
          <w:r>
            <w:rPr>
              <w:color w:val="000000"/>
            </w:rPr>
            <w:t>HEIs</w:t>
          </w:r>
          <w:r w:rsidRPr="0034761A">
            <w:rPr>
              <w:color w:val="000000"/>
            </w:rPr>
            <w:t>, and THECB related advisory committees/councils</w:t>
          </w:r>
          <w:r>
            <w:rPr>
              <w:color w:val="000000"/>
            </w:rPr>
            <w:t>,</w:t>
          </w:r>
          <w:r w:rsidRPr="0034761A">
            <w:rPr>
              <w:color w:val="000000"/>
            </w:rPr>
            <w:t xml:space="preserve"> to create the template that is to be placed on each website. THECB would also have on their website a list of all of the </w:t>
          </w:r>
          <w:r>
            <w:rPr>
              <w:color w:val="000000"/>
            </w:rPr>
            <w:t>higher education institutions</w:t>
          </w:r>
          <w:r w:rsidRPr="0034761A">
            <w:rPr>
              <w:color w:val="000000"/>
            </w:rPr>
            <w:t xml:space="preserve"> and their transferability percentage rates.</w:t>
          </w:r>
        </w:p>
        <w:p w:rsidR="00DF5BA2" w:rsidRPr="00D70925" w:rsidRDefault="00DF5BA2" w:rsidP="00DF5BA2">
          <w:pPr>
            <w:spacing w:after="0" w:line="240" w:lineRule="auto"/>
            <w:jc w:val="both"/>
            <w:rPr>
              <w:rFonts w:eastAsia="Times New Roman" w:cs="Times New Roman"/>
              <w:bCs/>
              <w:szCs w:val="24"/>
            </w:rPr>
          </w:pPr>
        </w:p>
      </w:sdtContent>
    </w:sdt>
    <w:p w:rsidR="00DF5BA2" w:rsidRDefault="00DF5BA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1963 </w:t>
      </w:r>
      <w:bookmarkStart w:id="1" w:name="AmendsCurrentLaw"/>
      <w:bookmarkEnd w:id="1"/>
      <w:r>
        <w:rPr>
          <w:rFonts w:cs="Times New Roman"/>
          <w:szCs w:val="24"/>
        </w:rPr>
        <w:t>amends current law relating to a transferability report card for public institutions of higher education.</w:t>
      </w:r>
    </w:p>
    <w:p w:rsidR="00DF5BA2" w:rsidRPr="005E7BAF" w:rsidRDefault="00DF5BA2" w:rsidP="000F1DF9">
      <w:pPr>
        <w:spacing w:after="0" w:line="240" w:lineRule="auto"/>
        <w:jc w:val="both"/>
        <w:rPr>
          <w:rFonts w:eastAsia="Times New Roman" w:cs="Times New Roman"/>
          <w:szCs w:val="24"/>
        </w:rPr>
      </w:pPr>
    </w:p>
    <w:p w:rsidR="00DF5BA2" w:rsidRPr="005C2A78" w:rsidRDefault="00DF5BA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6116755E0B46AC8D83D205EFA55059"/>
          </w:placeholder>
        </w:sdtPr>
        <w:sdtContent>
          <w:r>
            <w:rPr>
              <w:rFonts w:eastAsia="Times New Roman" w:cs="Times New Roman"/>
              <w:b/>
              <w:szCs w:val="24"/>
              <w:u w:val="single"/>
            </w:rPr>
            <w:t>RULEMAKING AUTHORITY</w:t>
          </w:r>
        </w:sdtContent>
      </w:sdt>
    </w:p>
    <w:p w:rsidR="00DF5BA2" w:rsidRPr="006529C4" w:rsidRDefault="00DF5BA2" w:rsidP="00774EC7">
      <w:pPr>
        <w:spacing w:after="0" w:line="240" w:lineRule="auto"/>
        <w:jc w:val="both"/>
        <w:rPr>
          <w:rFonts w:cs="Times New Roman"/>
          <w:szCs w:val="24"/>
        </w:rPr>
      </w:pPr>
    </w:p>
    <w:p w:rsidR="00DF5BA2" w:rsidRPr="006529C4" w:rsidRDefault="00DF5BA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F5BA2" w:rsidRPr="006529C4" w:rsidRDefault="00DF5BA2" w:rsidP="00774EC7">
      <w:pPr>
        <w:spacing w:after="0" w:line="240" w:lineRule="auto"/>
        <w:jc w:val="both"/>
        <w:rPr>
          <w:rFonts w:cs="Times New Roman"/>
          <w:szCs w:val="24"/>
        </w:rPr>
      </w:pPr>
    </w:p>
    <w:p w:rsidR="00DF5BA2" w:rsidRPr="005C2A78" w:rsidRDefault="00DF5BA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CC3B44DEE4544D0A99A31B471A8EE92"/>
          </w:placeholder>
        </w:sdtPr>
        <w:sdtContent>
          <w:r>
            <w:rPr>
              <w:rFonts w:eastAsia="Times New Roman" w:cs="Times New Roman"/>
              <w:b/>
              <w:szCs w:val="24"/>
              <w:u w:val="single"/>
            </w:rPr>
            <w:t>SECTION BY SECTION ANALYSIS</w:t>
          </w:r>
        </w:sdtContent>
      </w:sdt>
    </w:p>
    <w:p w:rsidR="00DF5BA2" w:rsidRPr="005C2A78" w:rsidRDefault="00DF5BA2" w:rsidP="0034761A">
      <w:pPr>
        <w:spacing w:after="0" w:line="240" w:lineRule="auto"/>
        <w:jc w:val="both"/>
        <w:rPr>
          <w:rFonts w:eastAsia="Times New Roman" w:cs="Times New Roman"/>
          <w:szCs w:val="24"/>
        </w:rPr>
      </w:pPr>
    </w:p>
    <w:p w:rsidR="00DF5BA2" w:rsidRDefault="00DF5BA2" w:rsidP="0034761A">
      <w:pPr>
        <w:spacing w:line="240" w:lineRule="auto"/>
        <w:jc w:val="both"/>
      </w:pPr>
      <w:r>
        <w:t>SECTION 1.  Amends Subchapter Z, Chapter 51, Education Code, by adding Section 51.96854, as follows:</w:t>
      </w:r>
    </w:p>
    <w:p w:rsidR="00DF5BA2" w:rsidRPr="005E7BAF" w:rsidRDefault="00DF5BA2" w:rsidP="0034761A">
      <w:pPr>
        <w:spacing w:line="240" w:lineRule="auto"/>
        <w:ind w:left="720"/>
        <w:jc w:val="both"/>
      </w:pPr>
      <w:r w:rsidRPr="005E7BAF">
        <w:t>Sec. 51.96854.  TR</w:t>
      </w:r>
      <w:r>
        <w:t>ANSFERABILITY REPORT CARD. (a)</w:t>
      </w:r>
      <w:r w:rsidRPr="005E7BAF">
        <w:t xml:space="preserve"> </w:t>
      </w:r>
      <w:r>
        <w:t>Defines "coordinating board" and "institution of higher education."</w:t>
      </w:r>
    </w:p>
    <w:p w:rsidR="00DF5BA2" w:rsidRPr="005E7BAF" w:rsidRDefault="00DF5BA2" w:rsidP="0034761A">
      <w:pPr>
        <w:spacing w:line="240" w:lineRule="auto"/>
        <w:ind w:left="1440"/>
        <w:jc w:val="both"/>
      </w:pPr>
      <w:r>
        <w:t>(b) Requires</w:t>
      </w:r>
      <w:r w:rsidRPr="005E7BAF">
        <w:t xml:space="preserve"> an institution</w:t>
      </w:r>
      <w:r>
        <w:t xml:space="preserve"> </w:t>
      </w:r>
      <w:r w:rsidRPr="005E7BAF">
        <w:t>of higher education</w:t>
      </w:r>
      <w:r>
        <w:t>, n</w:t>
      </w:r>
      <w:r w:rsidRPr="005E7BAF">
        <w:t>ot later than March 1 of each year</w:t>
      </w:r>
      <w:r>
        <w:t>, to</w:t>
      </w:r>
      <w:r w:rsidRPr="005E7BAF">
        <w:t xml:space="preserve"> post on the institution's Internet website a transferability report card that indicates for the preceding academic year:</w:t>
      </w:r>
    </w:p>
    <w:p w:rsidR="00DF5BA2" w:rsidRPr="005E7BAF" w:rsidRDefault="00DF5BA2" w:rsidP="0034761A">
      <w:pPr>
        <w:spacing w:line="240" w:lineRule="auto"/>
        <w:ind w:left="2160"/>
        <w:jc w:val="both"/>
      </w:pPr>
      <w:r w:rsidRPr="005E7BAF">
        <w:t>(1)  the total number of semester credit hours or the equivalent for which undergraduate students transferring to the institution applied for transfer credit; and</w:t>
      </w:r>
    </w:p>
    <w:p w:rsidR="00DF5BA2" w:rsidRPr="005E7BAF" w:rsidRDefault="00DF5BA2" w:rsidP="0034761A">
      <w:pPr>
        <w:spacing w:line="240" w:lineRule="auto"/>
        <w:ind w:left="2160"/>
        <w:jc w:val="both"/>
      </w:pPr>
      <w:r w:rsidRPr="005E7BAF">
        <w:t>(2)  the percentage of the semester credit hours or the equivalent described by Subdivision (1) for which students received transfer credit.</w:t>
      </w:r>
    </w:p>
    <w:p w:rsidR="00DF5BA2" w:rsidRPr="005E7BAF" w:rsidRDefault="00DF5BA2" w:rsidP="0034761A">
      <w:pPr>
        <w:spacing w:line="240" w:lineRule="auto"/>
        <w:ind w:left="1440"/>
        <w:jc w:val="both"/>
      </w:pPr>
      <w:r>
        <w:t>(c)  Requires the Texas Higher Education Coordinating Board (THECB)</w:t>
      </w:r>
      <w:r w:rsidRPr="005E7BAF">
        <w:t xml:space="preserve">, in consultation with institutions of higher education, </w:t>
      </w:r>
      <w:r>
        <w:t>to</w:t>
      </w:r>
      <w:r w:rsidRPr="005E7BAF">
        <w:t xml:space="preserve"> develop a model transferability report card for use under Subsection (b).</w:t>
      </w:r>
    </w:p>
    <w:p w:rsidR="00DF5BA2" w:rsidRDefault="00DF5BA2" w:rsidP="0034761A">
      <w:pPr>
        <w:spacing w:before="240" w:line="240" w:lineRule="auto"/>
        <w:ind w:left="1440"/>
        <w:jc w:val="both"/>
      </w:pPr>
      <w:r w:rsidRPr="005E7BAF">
        <w:t>(d</w:t>
      </w:r>
      <w:r>
        <w:t>)</w:t>
      </w:r>
      <w:r w:rsidRPr="005E7BAF">
        <w:t> </w:t>
      </w:r>
      <w:r>
        <w:t>Requires THECB, n</w:t>
      </w:r>
      <w:r w:rsidRPr="005E7BAF">
        <w:t>ot later than April 1 of each year</w:t>
      </w:r>
      <w:r>
        <w:t xml:space="preserve">, to post on THECB's </w:t>
      </w:r>
      <w:r w:rsidRPr="005E7BAF">
        <w:t>Internet website a list of each institution of higher education's transferability percentage described by Subsection (b)(2).</w:t>
      </w:r>
    </w:p>
    <w:p w:rsidR="00DF5BA2" w:rsidRDefault="00DF5BA2" w:rsidP="0034761A">
      <w:pPr>
        <w:spacing w:line="240" w:lineRule="auto"/>
        <w:jc w:val="both"/>
      </w:pPr>
      <w:r>
        <w:t>SECTION 2.  Requires THECB, as soon as practicable after the effective date of this Act, to develop the model transferability report card required under Section 51.96854(c), Education Code, as added by this Act.</w:t>
      </w:r>
    </w:p>
    <w:p w:rsidR="00DF5BA2" w:rsidRDefault="00DF5BA2" w:rsidP="0034761A">
      <w:pPr>
        <w:spacing w:line="240" w:lineRule="auto"/>
        <w:jc w:val="both"/>
      </w:pPr>
      <w:r>
        <w:t>SECTION 3. (a) Requires each public institution of higher education, not later than March 1, 2022, to post on the institution's Internet website the initial transferability report card required under Section 51.96854(b), Education Code, as added by this Act.</w:t>
      </w:r>
    </w:p>
    <w:p w:rsidR="00DF5BA2" w:rsidRDefault="00DF5BA2" w:rsidP="0034761A">
      <w:pPr>
        <w:spacing w:line="240" w:lineRule="auto"/>
        <w:ind w:left="720"/>
        <w:jc w:val="both"/>
      </w:pPr>
      <w:r>
        <w:t>(b) Requires THECB, not later than April 1, 2022, to post on THECB's Internet website the initial list required under Section 51.96854(d), Education Code, as added by this Act.</w:t>
      </w:r>
    </w:p>
    <w:p w:rsidR="00DF5BA2" w:rsidRPr="00C8671F" w:rsidRDefault="00DF5BA2" w:rsidP="0034761A">
      <w:pPr>
        <w:spacing w:after="0" w:line="240" w:lineRule="auto"/>
        <w:jc w:val="both"/>
        <w:rPr>
          <w:rFonts w:eastAsia="Times New Roman" w:cs="Times New Roman"/>
          <w:szCs w:val="24"/>
        </w:rPr>
      </w:pPr>
      <w:r>
        <w:t>SECTION 4. Effective date: September 1, 2021.</w:t>
      </w:r>
    </w:p>
    <w:sectPr w:rsidR="00DF5BA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63C" w:rsidRDefault="00CC263C" w:rsidP="000F1DF9">
      <w:pPr>
        <w:spacing w:after="0" w:line="240" w:lineRule="auto"/>
      </w:pPr>
      <w:r>
        <w:separator/>
      </w:r>
    </w:p>
  </w:endnote>
  <w:endnote w:type="continuationSeparator" w:id="0">
    <w:p w:rsidR="00CC263C" w:rsidRDefault="00CC263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C263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F5BA2">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F5BA2">
                <w:rPr>
                  <w:sz w:val="20"/>
                  <w:szCs w:val="20"/>
                </w:rPr>
                <w:t>S.B. 1963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F5BA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C263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63C" w:rsidRDefault="00CC263C" w:rsidP="000F1DF9">
      <w:pPr>
        <w:spacing w:after="0" w:line="240" w:lineRule="auto"/>
      </w:pPr>
      <w:r>
        <w:separator/>
      </w:r>
    </w:p>
  </w:footnote>
  <w:footnote w:type="continuationSeparator" w:id="0">
    <w:p w:rsidR="00CC263C" w:rsidRDefault="00CC263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263C"/>
    <w:rsid w:val="00CC3D4A"/>
    <w:rsid w:val="00D11363"/>
    <w:rsid w:val="00D70925"/>
    <w:rsid w:val="00DB48D8"/>
    <w:rsid w:val="00DF5BA2"/>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AA91F"/>
  <w15:docId w15:val="{C28067D2-31EC-4154-818D-8CDEAE0B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F5BA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0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41E6056F61B46D1BF83A120191C030F"/>
        <w:category>
          <w:name w:val="General"/>
          <w:gallery w:val="placeholder"/>
        </w:category>
        <w:types>
          <w:type w:val="bbPlcHdr"/>
        </w:types>
        <w:behaviors>
          <w:behavior w:val="content"/>
        </w:behaviors>
        <w:guid w:val="{15F6F78F-A7FA-4674-AE85-37D1BB8E4849}"/>
      </w:docPartPr>
      <w:docPartBody>
        <w:p w:rsidR="00000000" w:rsidRDefault="008E18F3"/>
      </w:docPartBody>
    </w:docPart>
    <w:docPart>
      <w:docPartPr>
        <w:name w:val="B26166BB918F40FB8FCF4278B41C76B0"/>
        <w:category>
          <w:name w:val="General"/>
          <w:gallery w:val="placeholder"/>
        </w:category>
        <w:types>
          <w:type w:val="bbPlcHdr"/>
        </w:types>
        <w:behaviors>
          <w:behavior w:val="content"/>
        </w:behaviors>
        <w:guid w:val="{8205C1D7-A44F-4629-94CD-181817EAE633}"/>
      </w:docPartPr>
      <w:docPartBody>
        <w:p w:rsidR="00000000" w:rsidRDefault="008E18F3"/>
      </w:docPartBody>
    </w:docPart>
    <w:docPart>
      <w:docPartPr>
        <w:name w:val="0E59266FEF004F49A46773AE96B50F59"/>
        <w:category>
          <w:name w:val="General"/>
          <w:gallery w:val="placeholder"/>
        </w:category>
        <w:types>
          <w:type w:val="bbPlcHdr"/>
        </w:types>
        <w:behaviors>
          <w:behavior w:val="content"/>
        </w:behaviors>
        <w:guid w:val="{259F5704-333B-4B24-B159-6B50A0C4BBE6}"/>
      </w:docPartPr>
      <w:docPartBody>
        <w:p w:rsidR="00000000" w:rsidRDefault="008E18F3"/>
      </w:docPartBody>
    </w:docPart>
    <w:docPart>
      <w:docPartPr>
        <w:name w:val="02EAF5CDC6EA48F6AA515279DDB27E65"/>
        <w:category>
          <w:name w:val="General"/>
          <w:gallery w:val="placeholder"/>
        </w:category>
        <w:types>
          <w:type w:val="bbPlcHdr"/>
        </w:types>
        <w:behaviors>
          <w:behavior w:val="content"/>
        </w:behaviors>
        <w:guid w:val="{79FCBB34-DA16-42E4-AECC-B56C7BF17B8A}"/>
      </w:docPartPr>
      <w:docPartBody>
        <w:p w:rsidR="00000000" w:rsidRDefault="008E18F3"/>
      </w:docPartBody>
    </w:docPart>
    <w:docPart>
      <w:docPartPr>
        <w:name w:val="3B58B6257D79483C9A9DBB98657FCCE8"/>
        <w:category>
          <w:name w:val="General"/>
          <w:gallery w:val="placeholder"/>
        </w:category>
        <w:types>
          <w:type w:val="bbPlcHdr"/>
        </w:types>
        <w:behaviors>
          <w:behavior w:val="content"/>
        </w:behaviors>
        <w:guid w:val="{99092E38-7948-471C-8710-236C125CEA1C}"/>
      </w:docPartPr>
      <w:docPartBody>
        <w:p w:rsidR="00000000" w:rsidRDefault="008E18F3"/>
      </w:docPartBody>
    </w:docPart>
    <w:docPart>
      <w:docPartPr>
        <w:name w:val="56CEE12A9AFF4D8DBEC7E98039EB8FAE"/>
        <w:category>
          <w:name w:val="General"/>
          <w:gallery w:val="placeholder"/>
        </w:category>
        <w:types>
          <w:type w:val="bbPlcHdr"/>
        </w:types>
        <w:behaviors>
          <w:behavior w:val="content"/>
        </w:behaviors>
        <w:guid w:val="{DA67CEB5-EAA8-4BE9-BF18-714E3E7515F4}"/>
      </w:docPartPr>
      <w:docPartBody>
        <w:p w:rsidR="00000000" w:rsidRDefault="008E18F3"/>
      </w:docPartBody>
    </w:docPart>
    <w:docPart>
      <w:docPartPr>
        <w:name w:val="3EB4ED87821F4434B9810EE7F6596017"/>
        <w:category>
          <w:name w:val="General"/>
          <w:gallery w:val="placeholder"/>
        </w:category>
        <w:types>
          <w:type w:val="bbPlcHdr"/>
        </w:types>
        <w:behaviors>
          <w:behavior w:val="content"/>
        </w:behaviors>
        <w:guid w:val="{E56473CF-9E8F-46EC-9F6A-A73A91711DB9}"/>
      </w:docPartPr>
      <w:docPartBody>
        <w:p w:rsidR="00000000" w:rsidRDefault="008E18F3"/>
      </w:docPartBody>
    </w:docPart>
    <w:docPart>
      <w:docPartPr>
        <w:name w:val="8BDB55BAFBBB4313A628107A0B9A71A5"/>
        <w:category>
          <w:name w:val="General"/>
          <w:gallery w:val="placeholder"/>
        </w:category>
        <w:types>
          <w:type w:val="bbPlcHdr"/>
        </w:types>
        <w:behaviors>
          <w:behavior w:val="content"/>
        </w:behaviors>
        <w:guid w:val="{33DDCA81-B0BF-4E1F-B18C-9EC6BC8506B3}"/>
      </w:docPartPr>
      <w:docPartBody>
        <w:p w:rsidR="00000000" w:rsidRDefault="008E18F3"/>
      </w:docPartBody>
    </w:docPart>
    <w:docPart>
      <w:docPartPr>
        <w:name w:val="F0D17400FB394E4DA8580212547C92EA"/>
        <w:category>
          <w:name w:val="General"/>
          <w:gallery w:val="placeholder"/>
        </w:category>
        <w:types>
          <w:type w:val="bbPlcHdr"/>
        </w:types>
        <w:behaviors>
          <w:behavior w:val="content"/>
        </w:behaviors>
        <w:guid w:val="{90E95BD8-CD53-4BF4-B14D-06215A1E9B60}"/>
      </w:docPartPr>
      <w:docPartBody>
        <w:p w:rsidR="00000000" w:rsidRDefault="008E18F3"/>
      </w:docPartBody>
    </w:docPart>
    <w:docPart>
      <w:docPartPr>
        <w:name w:val="FC189446103F4ACA8141701D1D7C7B4F"/>
        <w:category>
          <w:name w:val="General"/>
          <w:gallery w:val="placeholder"/>
        </w:category>
        <w:types>
          <w:type w:val="bbPlcHdr"/>
        </w:types>
        <w:behaviors>
          <w:behavior w:val="content"/>
        </w:behaviors>
        <w:guid w:val="{AE355328-0D38-4BA4-925A-AF701BDAB733}"/>
      </w:docPartPr>
      <w:docPartBody>
        <w:p w:rsidR="00000000" w:rsidRDefault="000D07C7" w:rsidP="000D07C7">
          <w:pPr>
            <w:pStyle w:val="FC189446103F4ACA8141701D1D7C7B4F"/>
          </w:pPr>
          <w:r w:rsidRPr="00A30DD1">
            <w:rPr>
              <w:rStyle w:val="PlaceholderText"/>
            </w:rPr>
            <w:t>Click here to enter a date.</w:t>
          </w:r>
        </w:p>
      </w:docPartBody>
    </w:docPart>
    <w:docPart>
      <w:docPartPr>
        <w:name w:val="7C971A44CB934AEB966D277CC4503740"/>
        <w:category>
          <w:name w:val="General"/>
          <w:gallery w:val="placeholder"/>
        </w:category>
        <w:types>
          <w:type w:val="bbPlcHdr"/>
        </w:types>
        <w:behaviors>
          <w:behavior w:val="content"/>
        </w:behaviors>
        <w:guid w:val="{8FD2DCB8-D08B-4317-B1EB-178C01EBCB27}"/>
      </w:docPartPr>
      <w:docPartBody>
        <w:p w:rsidR="00000000" w:rsidRDefault="008E18F3"/>
      </w:docPartBody>
    </w:docPart>
    <w:docPart>
      <w:docPartPr>
        <w:name w:val="54A24AA7DEE845619CBD02530CA8937C"/>
        <w:category>
          <w:name w:val="General"/>
          <w:gallery w:val="placeholder"/>
        </w:category>
        <w:types>
          <w:type w:val="bbPlcHdr"/>
        </w:types>
        <w:behaviors>
          <w:behavior w:val="content"/>
        </w:behaviors>
        <w:guid w:val="{08F8CCE8-5171-48AE-B474-C753E821B1F2}"/>
      </w:docPartPr>
      <w:docPartBody>
        <w:p w:rsidR="00000000" w:rsidRDefault="008E18F3"/>
      </w:docPartBody>
    </w:docPart>
    <w:docPart>
      <w:docPartPr>
        <w:name w:val="830C5CB25BDE44198D1089EFE7EEC4F5"/>
        <w:category>
          <w:name w:val="General"/>
          <w:gallery w:val="placeholder"/>
        </w:category>
        <w:types>
          <w:type w:val="bbPlcHdr"/>
        </w:types>
        <w:behaviors>
          <w:behavior w:val="content"/>
        </w:behaviors>
        <w:guid w:val="{2D46B5B7-EB93-46C9-95E2-2643A68B9D55}"/>
      </w:docPartPr>
      <w:docPartBody>
        <w:p w:rsidR="00000000" w:rsidRDefault="000D07C7" w:rsidP="000D07C7">
          <w:pPr>
            <w:pStyle w:val="830C5CB25BDE44198D1089EFE7EEC4F5"/>
          </w:pPr>
          <w:r>
            <w:rPr>
              <w:rFonts w:eastAsia="Times New Roman" w:cs="Times New Roman"/>
              <w:bCs/>
              <w:szCs w:val="24"/>
            </w:rPr>
            <w:t xml:space="preserve"> </w:t>
          </w:r>
        </w:p>
      </w:docPartBody>
    </w:docPart>
    <w:docPart>
      <w:docPartPr>
        <w:name w:val="2F6116755E0B46AC8D83D205EFA55059"/>
        <w:category>
          <w:name w:val="General"/>
          <w:gallery w:val="placeholder"/>
        </w:category>
        <w:types>
          <w:type w:val="bbPlcHdr"/>
        </w:types>
        <w:behaviors>
          <w:behavior w:val="content"/>
        </w:behaviors>
        <w:guid w:val="{88770F40-0330-45A1-8ACE-C990217F67BC}"/>
      </w:docPartPr>
      <w:docPartBody>
        <w:p w:rsidR="00000000" w:rsidRDefault="008E18F3"/>
      </w:docPartBody>
    </w:docPart>
    <w:docPart>
      <w:docPartPr>
        <w:name w:val="4CC3B44DEE4544D0A99A31B471A8EE92"/>
        <w:category>
          <w:name w:val="General"/>
          <w:gallery w:val="placeholder"/>
        </w:category>
        <w:types>
          <w:type w:val="bbPlcHdr"/>
        </w:types>
        <w:behaviors>
          <w:behavior w:val="content"/>
        </w:behaviors>
        <w:guid w:val="{95BAECAE-25DE-4D55-B1FA-DD2720A75BC3}"/>
      </w:docPartPr>
      <w:docPartBody>
        <w:p w:rsidR="00000000" w:rsidRDefault="008E18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D07C7"/>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E18F3"/>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7C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C189446103F4ACA8141701D1D7C7B4F">
    <w:name w:val="FC189446103F4ACA8141701D1D7C7B4F"/>
    <w:rsid w:val="000D07C7"/>
    <w:pPr>
      <w:spacing w:after="160" w:line="259" w:lineRule="auto"/>
    </w:pPr>
  </w:style>
  <w:style w:type="paragraph" w:customStyle="1" w:styleId="830C5CB25BDE44198D1089EFE7EEC4F5">
    <w:name w:val="830C5CB25BDE44198D1089EFE7EEC4F5"/>
    <w:rsid w:val="000D07C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71D0392-1F82-45ED-9EA9-700F3D2F1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674</Words>
  <Characters>3843</Characters>
  <Application>Microsoft Office Word</Application>
  <DocSecurity>0</DocSecurity>
  <Lines>32</Lines>
  <Paragraphs>9</Paragraphs>
  <ScaleCrop>false</ScaleCrop>
  <Company>Texas Legislative Council</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2021-04-06T18:58:00Z</dcterms:modified>
</cp:coreProperties>
</file>

<file path=docProps/custom.xml><?xml version="1.0" encoding="utf-8"?>
<op:Properties xmlns:vt="http://schemas.openxmlformats.org/officeDocument/2006/docPropsVTypes" xmlns:op="http://schemas.openxmlformats.org/officeDocument/2006/custom-properties"/>
</file>