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77453" w14:paraId="71E04C81" w14:textId="77777777" w:rsidTr="00345119">
        <w:tc>
          <w:tcPr>
            <w:tcW w:w="9576" w:type="dxa"/>
            <w:noWrap/>
          </w:tcPr>
          <w:p w14:paraId="374F2236" w14:textId="77777777" w:rsidR="008423E4" w:rsidRPr="0022177D" w:rsidRDefault="000D207F" w:rsidP="0070780F">
            <w:pPr>
              <w:pStyle w:val="Heading1"/>
            </w:pPr>
            <w:bookmarkStart w:id="0" w:name="_GoBack"/>
            <w:bookmarkEnd w:id="0"/>
            <w:r w:rsidRPr="00631897">
              <w:t>BILL ANALYSIS</w:t>
            </w:r>
          </w:p>
        </w:tc>
      </w:tr>
    </w:tbl>
    <w:p w14:paraId="44E3D75D" w14:textId="77777777" w:rsidR="008423E4" w:rsidRPr="0022177D" w:rsidRDefault="008423E4" w:rsidP="0070780F">
      <w:pPr>
        <w:jc w:val="center"/>
      </w:pPr>
    </w:p>
    <w:p w14:paraId="73C9F734" w14:textId="77777777" w:rsidR="008423E4" w:rsidRPr="00B31F0E" w:rsidRDefault="008423E4" w:rsidP="0070780F"/>
    <w:p w14:paraId="261D7FBA" w14:textId="77777777" w:rsidR="008423E4" w:rsidRPr="00742794" w:rsidRDefault="008423E4" w:rsidP="0070780F">
      <w:pPr>
        <w:tabs>
          <w:tab w:val="right" w:pos="9360"/>
        </w:tabs>
      </w:pPr>
    </w:p>
    <w:tbl>
      <w:tblPr>
        <w:tblW w:w="0" w:type="auto"/>
        <w:tblLayout w:type="fixed"/>
        <w:tblLook w:val="01E0" w:firstRow="1" w:lastRow="1" w:firstColumn="1" w:lastColumn="1" w:noHBand="0" w:noVBand="0"/>
      </w:tblPr>
      <w:tblGrid>
        <w:gridCol w:w="9576"/>
      </w:tblGrid>
      <w:tr w:rsidR="00777453" w14:paraId="758F24C0" w14:textId="77777777" w:rsidTr="00345119">
        <w:tc>
          <w:tcPr>
            <w:tcW w:w="9576" w:type="dxa"/>
          </w:tcPr>
          <w:p w14:paraId="54B9C388" w14:textId="1A63A4FC" w:rsidR="008423E4" w:rsidRPr="00861995" w:rsidRDefault="000D207F" w:rsidP="0070780F">
            <w:pPr>
              <w:jc w:val="right"/>
            </w:pPr>
            <w:r>
              <w:t>C.S.S.B. 2230</w:t>
            </w:r>
          </w:p>
        </w:tc>
      </w:tr>
      <w:tr w:rsidR="00777453" w14:paraId="01938E69" w14:textId="77777777" w:rsidTr="00345119">
        <w:tc>
          <w:tcPr>
            <w:tcW w:w="9576" w:type="dxa"/>
          </w:tcPr>
          <w:p w14:paraId="0F81CC9E" w14:textId="60629E6A" w:rsidR="008423E4" w:rsidRPr="00861995" w:rsidRDefault="000D207F" w:rsidP="00AF7BFB">
            <w:pPr>
              <w:jc w:val="right"/>
            </w:pPr>
            <w:r>
              <w:t xml:space="preserve">By: </w:t>
            </w:r>
            <w:r w:rsidR="00AF7BFB">
              <w:t>Schwertner</w:t>
            </w:r>
          </w:p>
        </w:tc>
      </w:tr>
      <w:tr w:rsidR="00777453" w14:paraId="4D4FC32A" w14:textId="77777777" w:rsidTr="00345119">
        <w:tc>
          <w:tcPr>
            <w:tcW w:w="9576" w:type="dxa"/>
          </w:tcPr>
          <w:p w14:paraId="14CB10CA" w14:textId="67661582" w:rsidR="008423E4" w:rsidRPr="00861995" w:rsidRDefault="000D207F" w:rsidP="0070780F">
            <w:pPr>
              <w:jc w:val="right"/>
            </w:pPr>
            <w:r>
              <w:t>Pensions, Investments &amp; Financial Services</w:t>
            </w:r>
          </w:p>
        </w:tc>
      </w:tr>
      <w:tr w:rsidR="00777453" w14:paraId="5DB97A07" w14:textId="77777777" w:rsidTr="00345119">
        <w:tc>
          <w:tcPr>
            <w:tcW w:w="9576" w:type="dxa"/>
          </w:tcPr>
          <w:p w14:paraId="07FF06ED" w14:textId="78FA4BEA" w:rsidR="008423E4" w:rsidRDefault="000D207F" w:rsidP="0070780F">
            <w:pPr>
              <w:jc w:val="right"/>
            </w:pPr>
            <w:r>
              <w:t>Committee Report (Substituted)</w:t>
            </w:r>
          </w:p>
        </w:tc>
      </w:tr>
    </w:tbl>
    <w:p w14:paraId="2F8B46C5" w14:textId="77777777" w:rsidR="008423E4" w:rsidRDefault="008423E4" w:rsidP="0070780F">
      <w:pPr>
        <w:tabs>
          <w:tab w:val="right" w:pos="9360"/>
        </w:tabs>
      </w:pPr>
    </w:p>
    <w:p w14:paraId="0D26C072" w14:textId="77777777" w:rsidR="008423E4" w:rsidRDefault="008423E4" w:rsidP="0070780F"/>
    <w:p w14:paraId="22B196D4" w14:textId="77777777" w:rsidR="008423E4" w:rsidRDefault="008423E4" w:rsidP="0070780F"/>
    <w:tbl>
      <w:tblPr>
        <w:tblW w:w="0" w:type="auto"/>
        <w:tblCellMar>
          <w:left w:w="115" w:type="dxa"/>
          <w:right w:w="115" w:type="dxa"/>
        </w:tblCellMar>
        <w:tblLook w:val="01E0" w:firstRow="1" w:lastRow="1" w:firstColumn="1" w:lastColumn="1" w:noHBand="0" w:noVBand="0"/>
      </w:tblPr>
      <w:tblGrid>
        <w:gridCol w:w="9360"/>
      </w:tblGrid>
      <w:tr w:rsidR="00777453" w14:paraId="7782E395" w14:textId="77777777" w:rsidTr="0070780F">
        <w:tc>
          <w:tcPr>
            <w:tcW w:w="9360" w:type="dxa"/>
          </w:tcPr>
          <w:p w14:paraId="11F40C73" w14:textId="77777777" w:rsidR="008423E4" w:rsidRPr="00A8133F" w:rsidRDefault="000D207F" w:rsidP="0070780F">
            <w:pPr>
              <w:rPr>
                <w:b/>
              </w:rPr>
            </w:pPr>
            <w:r w:rsidRPr="009C1E9A">
              <w:rPr>
                <w:b/>
                <w:u w:val="single"/>
              </w:rPr>
              <w:t>BACKGROUND AND PURPOSE</w:t>
            </w:r>
            <w:r>
              <w:rPr>
                <w:b/>
              </w:rPr>
              <w:t xml:space="preserve"> </w:t>
            </w:r>
          </w:p>
          <w:p w14:paraId="5A8E4B8D" w14:textId="77777777" w:rsidR="008423E4" w:rsidRPr="00513241" w:rsidRDefault="008423E4" w:rsidP="0070780F">
            <w:pPr>
              <w:rPr>
                <w:sz w:val="14"/>
              </w:rPr>
            </w:pPr>
          </w:p>
          <w:p w14:paraId="058B2715" w14:textId="46971301" w:rsidR="008423E4" w:rsidRDefault="000D207F" w:rsidP="0070780F">
            <w:pPr>
              <w:pStyle w:val="Header"/>
              <w:jc w:val="both"/>
            </w:pPr>
            <w:r>
              <w:t>In 2015, t</w:t>
            </w:r>
            <w:r w:rsidR="00291C97">
              <w:t xml:space="preserve">he </w:t>
            </w:r>
            <w:r>
              <w:t xml:space="preserve">state </w:t>
            </w:r>
            <w:r w:rsidR="00291C97">
              <w:t xml:space="preserve">legislature created a state-administered precious metals bullion depository </w:t>
            </w:r>
            <w:r>
              <w:t xml:space="preserve">known </w:t>
            </w:r>
            <w:r>
              <w:t>as</w:t>
            </w:r>
            <w:r w:rsidR="00291C97">
              <w:t xml:space="preserve"> </w:t>
            </w:r>
            <w:r w:rsidR="003439A3">
              <w:t xml:space="preserve">the </w:t>
            </w:r>
            <w:r w:rsidR="00291C97">
              <w:t>Texas Bullion Depository.</w:t>
            </w:r>
            <w:r>
              <w:t xml:space="preserve"> </w:t>
            </w:r>
            <w:r w:rsidR="00291C97">
              <w:tab/>
              <w:t xml:space="preserve">The </w:t>
            </w:r>
            <w:r>
              <w:t>d</w:t>
            </w:r>
            <w:r w:rsidR="00291C97">
              <w:t xml:space="preserve">epository is administered by the </w:t>
            </w:r>
            <w:r>
              <w:t>c</w:t>
            </w:r>
            <w:r w:rsidR="00291C97">
              <w:t xml:space="preserve">omptroller of </w:t>
            </w:r>
            <w:r>
              <w:t>p</w:t>
            </w:r>
            <w:r w:rsidR="00291C97">
              <w:t xml:space="preserve">ublic </w:t>
            </w:r>
            <w:r>
              <w:t>accounts</w:t>
            </w:r>
            <w:r w:rsidR="00291C97">
              <w:t xml:space="preserve">, who oversees the </w:t>
            </w:r>
            <w:r>
              <w:t xml:space="preserve">depository </w:t>
            </w:r>
            <w:r w:rsidR="00291C97">
              <w:t>and certifies</w:t>
            </w:r>
            <w:r w:rsidR="004006ED">
              <w:t xml:space="preserve"> that</w:t>
            </w:r>
            <w:r w:rsidR="00291C97">
              <w:t xml:space="preserve"> the operator meets the standards established for the program.</w:t>
            </w:r>
            <w:r>
              <w:t xml:space="preserve"> </w:t>
            </w:r>
            <w:r w:rsidR="00291C97">
              <w:tab/>
            </w:r>
            <w:r>
              <w:t>Current estimates anticipate that the depo</w:t>
            </w:r>
            <w:r>
              <w:t>sits of</w:t>
            </w:r>
            <w:r w:rsidR="00291C97">
              <w:t xml:space="preserve"> precious metals including gold, silver, platinum</w:t>
            </w:r>
            <w:r w:rsidR="003439A3">
              <w:t>,</w:t>
            </w:r>
            <w:r w:rsidR="00291C97">
              <w:t xml:space="preserve"> and palladium</w:t>
            </w:r>
            <w:r>
              <w:t xml:space="preserve"> in the depository </w:t>
            </w:r>
            <w:r w:rsidR="00291C97">
              <w:t xml:space="preserve">will increase significantly </w:t>
            </w:r>
            <w:r>
              <w:t xml:space="preserve">in the near future </w:t>
            </w:r>
            <w:r w:rsidR="00291C97">
              <w:t>as a result of attracting new business from commercial clients who currently store precious metals out</w:t>
            </w:r>
            <w:r w:rsidR="003439A3">
              <w:t xml:space="preserve"> </w:t>
            </w:r>
            <w:r w:rsidR="00291C97">
              <w:t>of</w:t>
            </w:r>
            <w:r w:rsidR="003439A3">
              <w:t xml:space="preserve"> </w:t>
            </w:r>
            <w:r w:rsidR="00291C97">
              <w:t xml:space="preserve">state. </w:t>
            </w:r>
            <w:r w:rsidR="00291C97">
              <w:tab/>
              <w:t>As</w:t>
            </w:r>
            <w:r w:rsidR="00304648">
              <w:t xml:space="preserve"> </w:t>
            </w:r>
            <w:r w:rsidR="00291C97">
              <w:t xml:space="preserve">envisioned by the enabling legislation, the </w:t>
            </w:r>
            <w:r>
              <w:t xml:space="preserve">comptroller </w:t>
            </w:r>
            <w:r w:rsidR="00291C97">
              <w:t xml:space="preserve">partnered </w:t>
            </w:r>
            <w:r w:rsidR="004006ED">
              <w:t xml:space="preserve">to build and operate the depository </w:t>
            </w:r>
            <w:r w:rsidR="00291C97">
              <w:t>with a contractor</w:t>
            </w:r>
            <w:r>
              <w:t xml:space="preserve"> who</w:t>
            </w:r>
            <w:r w:rsidR="00291C97">
              <w:t xml:space="preserve"> owns the land and facility where the </w:t>
            </w:r>
            <w:r>
              <w:t xml:space="preserve">depository </w:t>
            </w:r>
            <w:r w:rsidR="00291C97">
              <w:t xml:space="preserve">is located. </w:t>
            </w:r>
            <w:r>
              <w:t>However, t</w:t>
            </w:r>
            <w:r w:rsidR="00291C97">
              <w:t xml:space="preserve">he </w:t>
            </w:r>
            <w:r>
              <w:t xml:space="preserve">comptroller </w:t>
            </w:r>
            <w:r w:rsidR="00291C97">
              <w:t xml:space="preserve">does not </w:t>
            </w:r>
            <w:r w:rsidR="008D56AC">
              <w:t xml:space="preserve">currently </w:t>
            </w:r>
            <w:r w:rsidR="00291C97">
              <w:t xml:space="preserve">have a lease on the </w:t>
            </w:r>
            <w:r>
              <w:t xml:space="preserve">depository </w:t>
            </w:r>
            <w:r w:rsidR="00291C97">
              <w:t xml:space="preserve">facility. Instead, use of the facility is provided by the contractor as part of its contract with the </w:t>
            </w:r>
            <w:r w:rsidR="00FE7200">
              <w:t xml:space="preserve">comptroller </w:t>
            </w:r>
            <w:r w:rsidR="00291C97">
              <w:t xml:space="preserve">to operate the </w:t>
            </w:r>
            <w:r w:rsidR="00FE7200">
              <w:t>depository</w:t>
            </w:r>
            <w:r w:rsidR="00291C97">
              <w:t>.</w:t>
            </w:r>
            <w:r w:rsidR="00FE7200">
              <w:t xml:space="preserve"> The contractor has </w:t>
            </w:r>
            <w:r w:rsidR="00291C97">
              <w:t xml:space="preserve">indicated </w:t>
            </w:r>
            <w:r w:rsidR="00FE7200">
              <w:t xml:space="preserve">that it is </w:t>
            </w:r>
            <w:r w:rsidR="00291C97">
              <w:t xml:space="preserve">exploring the possibility of selling the facility to a third party and entering into a lease-back arrangement. </w:t>
            </w:r>
            <w:r w:rsidR="008D56AC">
              <w:t xml:space="preserve">Given that </w:t>
            </w:r>
            <w:r w:rsidR="00291C97">
              <w:t xml:space="preserve">this arrangement would continue to secure use of the facility during the term of the current contract, </w:t>
            </w:r>
            <w:r w:rsidR="008D56AC">
              <w:t xml:space="preserve">now </w:t>
            </w:r>
            <w:r w:rsidR="00291C97">
              <w:t xml:space="preserve">is an appropriate time to consider the long-term needs of the </w:t>
            </w:r>
            <w:r w:rsidR="008D56AC">
              <w:t>depository</w:t>
            </w:r>
            <w:r w:rsidR="00291C97">
              <w:t xml:space="preserve">. Ongoing access to a special purpose facility with the necessary security infrastructure such as the current facility is essential to the permanence of the </w:t>
            </w:r>
            <w:r w:rsidR="00FE7200">
              <w:t>depository</w:t>
            </w:r>
            <w:r w:rsidR="00291C97">
              <w:t>.</w:t>
            </w:r>
            <w:r w:rsidR="00FE7200">
              <w:t xml:space="preserve"> </w:t>
            </w:r>
            <w:r w:rsidR="009D2619">
              <w:t>C.S.S.B.</w:t>
            </w:r>
            <w:r w:rsidR="00C733D3">
              <w:t> </w:t>
            </w:r>
            <w:r w:rsidR="009D2619">
              <w:t>2230</w:t>
            </w:r>
            <w:r w:rsidR="00FE7200">
              <w:t xml:space="preserve"> seeks to address this issue by</w:t>
            </w:r>
            <w:r w:rsidR="00291C97">
              <w:t xml:space="preserve"> </w:t>
            </w:r>
            <w:r w:rsidR="00FE7200">
              <w:t xml:space="preserve">authorizing </w:t>
            </w:r>
            <w:r w:rsidR="00291C97">
              <w:t xml:space="preserve">the </w:t>
            </w:r>
            <w:r w:rsidR="00FE7200">
              <w:t xml:space="preserve">comptroller </w:t>
            </w:r>
            <w:r w:rsidR="00291C97">
              <w:t xml:space="preserve">to acquire real property to operate the </w:t>
            </w:r>
            <w:r w:rsidR="00FE7200">
              <w:t>depository</w:t>
            </w:r>
            <w:r w:rsidR="00291C97">
              <w:t xml:space="preserve">, including </w:t>
            </w:r>
            <w:r w:rsidR="00A61A55">
              <w:t xml:space="preserve">by </w:t>
            </w:r>
            <w:r w:rsidR="00291C97">
              <w:t>purchasing the existing facility.</w:t>
            </w:r>
          </w:p>
          <w:p w14:paraId="4666F99D" w14:textId="77777777" w:rsidR="008423E4" w:rsidRPr="00E26B13" w:rsidRDefault="008423E4" w:rsidP="0070780F">
            <w:pPr>
              <w:rPr>
                <w:b/>
              </w:rPr>
            </w:pPr>
          </w:p>
        </w:tc>
      </w:tr>
      <w:tr w:rsidR="00777453" w14:paraId="0779035B" w14:textId="77777777" w:rsidTr="0070780F">
        <w:tc>
          <w:tcPr>
            <w:tcW w:w="9360" w:type="dxa"/>
          </w:tcPr>
          <w:p w14:paraId="7361CC61" w14:textId="77777777" w:rsidR="0017725B" w:rsidRDefault="000D207F" w:rsidP="0070780F">
            <w:pPr>
              <w:rPr>
                <w:b/>
                <w:u w:val="single"/>
              </w:rPr>
            </w:pPr>
            <w:r>
              <w:rPr>
                <w:b/>
                <w:u w:val="single"/>
              </w:rPr>
              <w:t>CRIMINAL JUSTICE IMPACT</w:t>
            </w:r>
          </w:p>
          <w:p w14:paraId="09EA8BD2" w14:textId="77777777" w:rsidR="0017725B" w:rsidRPr="00513241" w:rsidRDefault="0017725B" w:rsidP="0070780F">
            <w:pPr>
              <w:rPr>
                <w:b/>
                <w:sz w:val="14"/>
                <w:u w:val="single"/>
              </w:rPr>
            </w:pPr>
          </w:p>
          <w:p w14:paraId="06029E08" w14:textId="77777777" w:rsidR="00291C97" w:rsidRPr="00291C97" w:rsidRDefault="000D207F" w:rsidP="0070780F">
            <w:pPr>
              <w:jc w:val="both"/>
            </w:pPr>
            <w:r>
              <w:t xml:space="preserve">It is the committee's opinion that this bill does not expressly create a criminal offense, increase the punishment for an existing criminal offense or category of </w:t>
            </w:r>
            <w:r>
              <w:t>offenses, or change the eligibility of a person for community supervision, parole, or mandatory supervision.</w:t>
            </w:r>
          </w:p>
          <w:p w14:paraId="2D7548DD" w14:textId="77777777" w:rsidR="0017725B" w:rsidRPr="0017725B" w:rsidRDefault="0017725B" w:rsidP="0070780F">
            <w:pPr>
              <w:rPr>
                <w:b/>
                <w:u w:val="single"/>
              </w:rPr>
            </w:pPr>
          </w:p>
        </w:tc>
      </w:tr>
      <w:tr w:rsidR="00777453" w14:paraId="1871D68F" w14:textId="77777777" w:rsidTr="0070780F">
        <w:tc>
          <w:tcPr>
            <w:tcW w:w="9360" w:type="dxa"/>
          </w:tcPr>
          <w:p w14:paraId="48826EF5" w14:textId="77777777" w:rsidR="008423E4" w:rsidRPr="00A8133F" w:rsidRDefault="000D207F" w:rsidP="0070780F">
            <w:pPr>
              <w:rPr>
                <w:b/>
              </w:rPr>
            </w:pPr>
            <w:r w:rsidRPr="009C1E9A">
              <w:rPr>
                <w:b/>
                <w:u w:val="single"/>
              </w:rPr>
              <w:t>RULEMAKING AUTHORITY</w:t>
            </w:r>
            <w:r>
              <w:rPr>
                <w:b/>
              </w:rPr>
              <w:t xml:space="preserve"> </w:t>
            </w:r>
          </w:p>
          <w:p w14:paraId="4EE78FFC" w14:textId="77777777" w:rsidR="008423E4" w:rsidRPr="00513241" w:rsidRDefault="008423E4" w:rsidP="0070780F">
            <w:pPr>
              <w:rPr>
                <w:sz w:val="14"/>
              </w:rPr>
            </w:pPr>
          </w:p>
          <w:p w14:paraId="248B8E5D" w14:textId="77777777" w:rsidR="00291C97" w:rsidRDefault="000D207F" w:rsidP="0070780F">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14:paraId="18E15B22" w14:textId="77777777" w:rsidR="008423E4" w:rsidRPr="00E21FDC" w:rsidRDefault="008423E4" w:rsidP="0070780F">
            <w:pPr>
              <w:rPr>
                <w:b/>
              </w:rPr>
            </w:pPr>
          </w:p>
        </w:tc>
      </w:tr>
      <w:tr w:rsidR="00777453" w14:paraId="6CC7F398" w14:textId="77777777" w:rsidTr="0070780F">
        <w:tc>
          <w:tcPr>
            <w:tcW w:w="9360" w:type="dxa"/>
          </w:tcPr>
          <w:p w14:paraId="6240F00F" w14:textId="77777777" w:rsidR="008423E4" w:rsidRPr="00A8133F" w:rsidRDefault="000D207F" w:rsidP="0070780F">
            <w:pPr>
              <w:rPr>
                <w:b/>
              </w:rPr>
            </w:pPr>
            <w:r w:rsidRPr="009C1E9A">
              <w:rPr>
                <w:b/>
                <w:u w:val="single"/>
              </w:rPr>
              <w:t>ANALYSIS</w:t>
            </w:r>
            <w:r>
              <w:rPr>
                <w:b/>
              </w:rPr>
              <w:t xml:space="preserve"> </w:t>
            </w:r>
          </w:p>
          <w:p w14:paraId="70464D8E" w14:textId="77777777" w:rsidR="008423E4" w:rsidRPr="00513241" w:rsidRDefault="008423E4" w:rsidP="0070780F">
            <w:pPr>
              <w:rPr>
                <w:sz w:val="14"/>
              </w:rPr>
            </w:pPr>
          </w:p>
          <w:p w14:paraId="0CCD357A" w14:textId="062326DE" w:rsidR="0027318D" w:rsidRDefault="000D207F" w:rsidP="0070780F">
            <w:pPr>
              <w:pStyle w:val="Header"/>
              <w:tabs>
                <w:tab w:val="clear" w:pos="4320"/>
                <w:tab w:val="clear" w:pos="8640"/>
              </w:tabs>
              <w:jc w:val="both"/>
            </w:pPr>
            <w:r>
              <w:t>C.S.S</w:t>
            </w:r>
            <w:r w:rsidR="00291C97">
              <w:t xml:space="preserve">.B. </w:t>
            </w:r>
            <w:r>
              <w:t>2230</w:t>
            </w:r>
            <w:r w:rsidR="00291C97">
              <w:t xml:space="preserve"> amends the Government Code to authorize the board of directors of the Texas Public Finance Authority </w:t>
            </w:r>
            <w:r>
              <w:t xml:space="preserve">(TPFA) </w:t>
            </w:r>
            <w:r w:rsidR="00291C97">
              <w:t xml:space="preserve">to issue and sell bonds in the name of </w:t>
            </w:r>
            <w:r w:rsidR="007752F9">
              <w:t>TPFA</w:t>
            </w:r>
            <w:r w:rsidR="00291C97">
              <w:t xml:space="preserve"> to finance the acquisition or construction of buildings to be used to operate the Texas Bullion Depository, including the acquisition of real property for that purpose. </w:t>
            </w:r>
            <w:r w:rsidR="000A12E4">
              <w:t>The bill</w:t>
            </w:r>
            <w:r>
              <w:t xml:space="preserve"> requires the comptroller </w:t>
            </w:r>
            <w:r w:rsidR="00466A87">
              <w:t xml:space="preserve">of public accounts </w:t>
            </w:r>
            <w:r>
              <w:t xml:space="preserve">to </w:t>
            </w:r>
            <w:r w:rsidRPr="0027318D">
              <w:t>accomplish its statutory autho</w:t>
            </w:r>
            <w:r w:rsidRPr="0027318D">
              <w:t>rity as if the property or building acquired or constructed were funded by legislative appropriation</w:t>
            </w:r>
            <w:r>
              <w:t xml:space="preserve"> and requires the board of TPFA and the comptroller to adopt </w:t>
            </w:r>
            <w:r w:rsidRPr="0027318D">
              <w:t xml:space="preserve">a memorandum of understanding that defines the division of authority between the </w:t>
            </w:r>
            <w:r w:rsidR="007752F9">
              <w:t>two</w:t>
            </w:r>
            <w:r w:rsidRPr="0027318D">
              <w:t xml:space="preserve"> regarding </w:t>
            </w:r>
            <w:r w:rsidRPr="0027318D">
              <w:t>the property or building</w:t>
            </w:r>
            <w:r>
              <w:t xml:space="preserve">. The bill requires the comptroller, </w:t>
            </w:r>
            <w:r w:rsidR="000A12E4">
              <w:t>to accomplish the bond financing of</w:t>
            </w:r>
            <w:r>
              <w:t xml:space="preserve"> the acquisition or construction of </w:t>
            </w:r>
            <w:r w:rsidR="00506AD6">
              <w:t xml:space="preserve">property or </w:t>
            </w:r>
            <w:r>
              <w:t xml:space="preserve">a building, to contract with </w:t>
            </w:r>
            <w:r w:rsidR="007752F9">
              <w:t xml:space="preserve">TPFA </w:t>
            </w:r>
            <w:r>
              <w:t xml:space="preserve">to purchase the property or building from </w:t>
            </w:r>
            <w:r w:rsidR="00CB793B">
              <w:t>TPFA</w:t>
            </w:r>
            <w:r>
              <w:t xml:space="preserve"> under a lease</w:t>
            </w:r>
            <w:r w:rsidR="006C2BF3">
              <w:noBreakHyphen/>
            </w:r>
            <w:r>
              <w:t>to</w:t>
            </w:r>
            <w:r w:rsidR="006C2BF3">
              <w:noBreakHyphen/>
            </w:r>
            <w:r>
              <w:t>purchase agree</w:t>
            </w:r>
            <w:r>
              <w:t>ment</w:t>
            </w:r>
            <w:r w:rsidR="00506AD6">
              <w:t xml:space="preserve"> or other comparable financing agreement, </w:t>
            </w:r>
            <w:r w:rsidR="00506AD6" w:rsidRPr="00506AD6">
              <w:t xml:space="preserve">as determined by the board </w:t>
            </w:r>
            <w:r w:rsidR="0039659B">
              <w:t xml:space="preserve">of TPFA </w:t>
            </w:r>
            <w:r w:rsidR="00506AD6" w:rsidRPr="00506AD6">
              <w:t>and the comptroller to be in the best interest of the state</w:t>
            </w:r>
            <w:r>
              <w:t>.</w:t>
            </w:r>
          </w:p>
          <w:p w14:paraId="37894809" w14:textId="77777777" w:rsidR="0027318D" w:rsidRDefault="0027318D" w:rsidP="0070780F">
            <w:pPr>
              <w:pStyle w:val="Header"/>
              <w:tabs>
                <w:tab w:val="clear" w:pos="4320"/>
                <w:tab w:val="clear" w:pos="8640"/>
              </w:tabs>
              <w:jc w:val="both"/>
            </w:pPr>
          </w:p>
          <w:p w14:paraId="289D5C62" w14:textId="7EC12C14" w:rsidR="0027318D" w:rsidRDefault="000D207F" w:rsidP="0070780F">
            <w:pPr>
              <w:pStyle w:val="Header"/>
              <w:tabs>
                <w:tab w:val="clear" w:pos="4320"/>
                <w:tab w:val="clear" w:pos="8640"/>
              </w:tabs>
              <w:jc w:val="both"/>
            </w:pPr>
            <w:r>
              <w:t xml:space="preserve">C.S.S.B. 2230 authorizes the comptroller to acquire </w:t>
            </w:r>
            <w:r w:rsidR="00A61A55">
              <w:t xml:space="preserve">by purchase, lease, donation, or other means </w:t>
            </w:r>
            <w:r>
              <w:t>real property ne</w:t>
            </w:r>
            <w:r>
              <w:t xml:space="preserve">cessary for one or more </w:t>
            </w:r>
            <w:r w:rsidR="004B7E2E">
              <w:t>buildings</w:t>
            </w:r>
            <w:r>
              <w:t xml:space="preserve"> to operate the depository</w:t>
            </w:r>
            <w:r w:rsidR="007752F9">
              <w:t xml:space="preserve"> and</w:t>
            </w:r>
            <w:r w:rsidR="00A61A55">
              <w:t xml:space="preserve"> authorizes the comptroller</w:t>
            </w:r>
            <w:r w:rsidR="004B7E2E">
              <w:t xml:space="preserve"> to do the following:</w:t>
            </w:r>
          </w:p>
          <w:p w14:paraId="37EDF0A5" w14:textId="77777777" w:rsidR="004B7E2E" w:rsidRDefault="000D207F" w:rsidP="0070780F">
            <w:pPr>
              <w:pStyle w:val="Header"/>
              <w:numPr>
                <w:ilvl w:val="0"/>
                <w:numId w:val="1"/>
              </w:numPr>
              <w:tabs>
                <w:tab w:val="clear" w:pos="4320"/>
                <w:tab w:val="clear" w:pos="8640"/>
              </w:tabs>
              <w:jc w:val="both"/>
            </w:pPr>
            <w:r w:rsidRPr="004B7E2E">
              <w:t>acquire a building that is subject to a lease by a private tenant and continue or renew a lease for the building if the comptroller determines t</w:t>
            </w:r>
            <w:r w:rsidRPr="004B7E2E">
              <w:t>hat doing so is advantageous</w:t>
            </w:r>
            <w:r>
              <w:t xml:space="preserve"> to the state</w:t>
            </w:r>
            <w:r w:rsidRPr="004B7E2E">
              <w:t>;</w:t>
            </w:r>
          </w:p>
          <w:p w14:paraId="3E35CA00" w14:textId="77777777" w:rsidR="004B7E2E" w:rsidRDefault="000D207F" w:rsidP="0070780F">
            <w:pPr>
              <w:pStyle w:val="Header"/>
              <w:numPr>
                <w:ilvl w:val="0"/>
                <w:numId w:val="1"/>
              </w:numPr>
              <w:tabs>
                <w:tab w:val="clear" w:pos="4320"/>
                <w:tab w:val="clear" w:pos="8640"/>
              </w:tabs>
              <w:jc w:val="both"/>
            </w:pPr>
            <w:r>
              <w:t>renegotiate the terms of the lease to obtain terms that are more favorable to the state; and</w:t>
            </w:r>
          </w:p>
          <w:p w14:paraId="30933698" w14:textId="77777777" w:rsidR="004B7E2E" w:rsidRDefault="000D207F" w:rsidP="0070780F">
            <w:pPr>
              <w:pStyle w:val="Header"/>
              <w:numPr>
                <w:ilvl w:val="0"/>
                <w:numId w:val="1"/>
              </w:numPr>
              <w:tabs>
                <w:tab w:val="clear" w:pos="4320"/>
                <w:tab w:val="clear" w:pos="8640"/>
              </w:tabs>
              <w:jc w:val="both"/>
            </w:pPr>
            <w:r>
              <w:t xml:space="preserve">lease at fair market value any portion of the acquired </w:t>
            </w:r>
            <w:r w:rsidRPr="004B7E2E">
              <w:t>property to a private tenant for commercial activities.</w:t>
            </w:r>
          </w:p>
          <w:p w14:paraId="1AA241D5" w14:textId="77777777" w:rsidR="004B7E2E" w:rsidRDefault="000D207F" w:rsidP="0070780F">
            <w:pPr>
              <w:pStyle w:val="Header"/>
              <w:tabs>
                <w:tab w:val="clear" w:pos="4320"/>
                <w:tab w:val="clear" w:pos="8640"/>
              </w:tabs>
              <w:jc w:val="both"/>
            </w:pPr>
            <w:r>
              <w:t xml:space="preserve">The bill </w:t>
            </w:r>
            <w:r>
              <w:t>sets out the authorized uses of money received by the comptroller under the lease.</w:t>
            </w:r>
          </w:p>
          <w:p w14:paraId="5DC44F56" w14:textId="77777777" w:rsidR="004B7E2E" w:rsidRDefault="004B7E2E" w:rsidP="0070780F">
            <w:pPr>
              <w:pStyle w:val="Header"/>
              <w:tabs>
                <w:tab w:val="clear" w:pos="4320"/>
                <w:tab w:val="clear" w:pos="8640"/>
              </w:tabs>
              <w:jc w:val="both"/>
            </w:pPr>
          </w:p>
          <w:p w14:paraId="4F24709B" w14:textId="43FECA25" w:rsidR="004B7E2E" w:rsidRPr="009C36CD" w:rsidRDefault="000D207F" w:rsidP="0070780F">
            <w:pPr>
              <w:pStyle w:val="Header"/>
              <w:tabs>
                <w:tab w:val="clear" w:pos="4320"/>
                <w:tab w:val="clear" w:pos="8640"/>
              </w:tabs>
              <w:jc w:val="both"/>
            </w:pPr>
            <w:r>
              <w:t>C.S.S.B. 2230 requires the comptroller</w:t>
            </w:r>
            <w:r w:rsidR="0039659B">
              <w:t xml:space="preserve">, </w:t>
            </w:r>
            <w:r w:rsidR="0039659B" w:rsidRPr="0039659B">
              <w:t>subject to the lease-to-purchase agreement or other comparable financing agreement</w:t>
            </w:r>
            <w:r w:rsidR="0039659B">
              <w:t>,</w:t>
            </w:r>
            <w:r>
              <w:t xml:space="preserve"> to </w:t>
            </w:r>
            <w:r w:rsidRPr="004B7E2E">
              <w:t xml:space="preserve">obtain in the name of </w:t>
            </w:r>
            <w:r>
              <w:t>the</w:t>
            </w:r>
            <w:r w:rsidRPr="004B7E2E">
              <w:t xml:space="preserve"> state title to any real property acquired or building constructed </w:t>
            </w:r>
            <w:r>
              <w:t xml:space="preserve">for the depository </w:t>
            </w:r>
            <w:r w:rsidRPr="004B7E2E">
              <w:t>and</w:t>
            </w:r>
            <w:r>
              <w:t xml:space="preserve"> to</w:t>
            </w:r>
            <w:r w:rsidRPr="004B7E2E">
              <w:t xml:space="preserve"> retain control of that real property.</w:t>
            </w:r>
            <w:r>
              <w:t xml:space="preserve"> The bill authorizes t</w:t>
            </w:r>
            <w:r w:rsidRPr="004B7E2E">
              <w:t xml:space="preserve">he comptroller </w:t>
            </w:r>
            <w:r>
              <w:t>to</w:t>
            </w:r>
            <w:r w:rsidRPr="004B7E2E">
              <w:t xml:space="preserve"> borrow money in the amount and under the circumstances authorized by the legislature a</w:t>
            </w:r>
            <w:r w:rsidRPr="004B7E2E">
              <w:t xml:space="preserve">nd </w:t>
            </w:r>
            <w:r>
              <w:t>to</w:t>
            </w:r>
            <w:r w:rsidRPr="004B7E2E">
              <w:t xml:space="preserve"> request </w:t>
            </w:r>
            <w:r>
              <w:t>TPFA</w:t>
            </w:r>
            <w:r w:rsidRPr="004B7E2E">
              <w:t xml:space="preserve">, on </w:t>
            </w:r>
            <w:r w:rsidR="00A61A55">
              <w:t xml:space="preserve">the comptroller's </w:t>
            </w:r>
            <w:r w:rsidRPr="004B7E2E">
              <w:t>behalf, to issue and sell bonds to acquire real property or construct a building to operate the depository.</w:t>
            </w:r>
            <w:r w:rsidR="000736FB">
              <w:t xml:space="preserve"> The bill authorizes TPFA to</w:t>
            </w:r>
            <w:r w:rsidR="0039659B">
              <w:t xml:space="preserve"> issue and</w:t>
            </w:r>
            <w:r w:rsidR="000736FB">
              <w:t xml:space="preserve"> s</w:t>
            </w:r>
            <w:r w:rsidR="000736FB" w:rsidRPr="000736FB">
              <w:t>ell bonds for th</w:t>
            </w:r>
            <w:r w:rsidR="000736FB">
              <w:t xml:space="preserve">ose </w:t>
            </w:r>
            <w:r w:rsidR="000736FB" w:rsidRPr="000736FB">
              <w:t xml:space="preserve">purposes in any manner </w:t>
            </w:r>
            <w:r w:rsidR="0039659B">
              <w:t xml:space="preserve">and on such terms </w:t>
            </w:r>
            <w:r w:rsidR="00A61A55">
              <w:t>it</w:t>
            </w:r>
            <w:r w:rsidR="00A61A55" w:rsidRPr="000736FB">
              <w:t xml:space="preserve"> </w:t>
            </w:r>
            <w:r w:rsidR="000736FB" w:rsidRPr="000736FB">
              <w:t>determines to be in the best interest of t</w:t>
            </w:r>
            <w:r w:rsidR="000736FB">
              <w:t xml:space="preserve">he comptroller, </w:t>
            </w:r>
            <w:r w:rsidR="00CC40EA">
              <w:t>subject to certain requirements regarding the examination and registration of public securities</w:t>
            </w:r>
            <w:r w:rsidR="000736FB" w:rsidRPr="000736FB">
              <w:t>.</w:t>
            </w:r>
          </w:p>
          <w:p w14:paraId="4400C665" w14:textId="77777777" w:rsidR="008423E4" w:rsidRPr="00835628" w:rsidRDefault="008423E4" w:rsidP="0070780F">
            <w:pPr>
              <w:rPr>
                <w:b/>
              </w:rPr>
            </w:pPr>
          </w:p>
        </w:tc>
      </w:tr>
      <w:tr w:rsidR="00777453" w14:paraId="0EBDE4CC" w14:textId="77777777" w:rsidTr="0070780F">
        <w:tc>
          <w:tcPr>
            <w:tcW w:w="9360" w:type="dxa"/>
          </w:tcPr>
          <w:p w14:paraId="4DD9056E" w14:textId="77777777" w:rsidR="008423E4" w:rsidRPr="00A8133F" w:rsidRDefault="000D207F" w:rsidP="0070780F">
            <w:pPr>
              <w:rPr>
                <w:b/>
              </w:rPr>
            </w:pPr>
            <w:r w:rsidRPr="009C1E9A">
              <w:rPr>
                <w:b/>
                <w:u w:val="single"/>
              </w:rPr>
              <w:t>EFFECTIVE DATE</w:t>
            </w:r>
            <w:r>
              <w:rPr>
                <w:b/>
              </w:rPr>
              <w:t xml:space="preserve"> </w:t>
            </w:r>
          </w:p>
          <w:p w14:paraId="19B22681" w14:textId="77777777" w:rsidR="008423E4" w:rsidRPr="00513241" w:rsidRDefault="008423E4" w:rsidP="0070780F">
            <w:pPr>
              <w:rPr>
                <w:sz w:val="14"/>
              </w:rPr>
            </w:pPr>
          </w:p>
          <w:p w14:paraId="627BD8A9" w14:textId="77777777" w:rsidR="008423E4" w:rsidRPr="003624F2" w:rsidRDefault="000D207F" w:rsidP="0070780F">
            <w:pPr>
              <w:pStyle w:val="Header"/>
              <w:tabs>
                <w:tab w:val="clear" w:pos="4320"/>
                <w:tab w:val="clear" w:pos="8640"/>
              </w:tabs>
              <w:jc w:val="both"/>
            </w:pPr>
            <w:r>
              <w:t>On passage, or, if the bill does not receive the necessary vote, September 1, 2021.</w:t>
            </w:r>
          </w:p>
          <w:p w14:paraId="4433B545" w14:textId="77777777" w:rsidR="008423E4" w:rsidRPr="00233FDB" w:rsidRDefault="008423E4" w:rsidP="0070780F">
            <w:pPr>
              <w:rPr>
                <w:b/>
              </w:rPr>
            </w:pPr>
          </w:p>
        </w:tc>
      </w:tr>
      <w:tr w:rsidR="00777453" w14:paraId="625EF2F9" w14:textId="77777777" w:rsidTr="0070780F">
        <w:tc>
          <w:tcPr>
            <w:tcW w:w="9360" w:type="dxa"/>
          </w:tcPr>
          <w:p w14:paraId="4EE2AECA" w14:textId="77777777" w:rsidR="00AF7BFB" w:rsidRDefault="000D207F" w:rsidP="00AF7BFB">
            <w:pPr>
              <w:jc w:val="both"/>
              <w:rPr>
                <w:b/>
                <w:u w:val="single"/>
              </w:rPr>
            </w:pPr>
            <w:r>
              <w:rPr>
                <w:b/>
                <w:u w:val="single"/>
              </w:rPr>
              <w:t>COMPARISON OF SENATE ENGROSSED AND SUBSTITUTE</w:t>
            </w:r>
          </w:p>
          <w:p w14:paraId="065AF56A" w14:textId="77777777" w:rsidR="009D2619" w:rsidRDefault="009D2619" w:rsidP="00AF7BFB">
            <w:pPr>
              <w:jc w:val="both"/>
              <w:rPr>
                <w:b/>
                <w:u w:val="single"/>
              </w:rPr>
            </w:pPr>
          </w:p>
          <w:p w14:paraId="67AA56E0" w14:textId="77777777" w:rsidR="00097842" w:rsidRDefault="000D207F" w:rsidP="00097842">
            <w:pPr>
              <w:jc w:val="both"/>
            </w:pPr>
            <w:r>
              <w:t>While C.S.S.B. 2230 may differ from the engrossed in minor or nonsubstantive ways, the following summarizes the substantial differences between the engrossed and committee substitute versions of the bill.</w:t>
            </w:r>
          </w:p>
          <w:p w14:paraId="0CD3CC82" w14:textId="77777777" w:rsidR="00097842" w:rsidRDefault="00097842" w:rsidP="00097842">
            <w:pPr>
              <w:jc w:val="both"/>
            </w:pPr>
          </w:p>
          <w:p w14:paraId="345957BE" w14:textId="31238160" w:rsidR="00097842" w:rsidRDefault="000D207F" w:rsidP="00097842">
            <w:pPr>
              <w:jc w:val="both"/>
            </w:pPr>
            <w:r>
              <w:t>The</w:t>
            </w:r>
            <w:r>
              <w:t xml:space="preserve"> engrossed required the comptroller, on completion of the acquisition of property or construction of a building, to contract with TPFA to purchase the property or building from TPFA under a lease-to-purchase </w:t>
            </w:r>
            <w:r w:rsidR="00D00582">
              <w:t>agreement</w:t>
            </w:r>
            <w:r>
              <w:t xml:space="preserve">, whereas the substitute requires </w:t>
            </w:r>
            <w:r w:rsidRPr="001E1919">
              <w:t xml:space="preserve">the comptroller to contract with TPFA to purchase the property or building from TPFA under </w:t>
            </w:r>
            <w:r w:rsidR="000E3A01">
              <w:t xml:space="preserve">a lease-to-purchase </w:t>
            </w:r>
            <w:r w:rsidRPr="001E1919">
              <w:t>agreement or other comparable financing agreement as determined by the board of TPFA and the comptroller to be in the best interest of the state</w:t>
            </w:r>
            <w:r w:rsidR="00D00582" w:rsidRPr="001E1919">
              <w:t xml:space="preserve">, </w:t>
            </w:r>
            <w:r w:rsidR="000E3A01">
              <w:t xml:space="preserve">in order </w:t>
            </w:r>
            <w:r w:rsidR="00D00582" w:rsidRPr="001E1919">
              <w:t>to accomplish the bond financing of the acquisition or construction of property or a building</w:t>
            </w:r>
            <w:r>
              <w:t>.</w:t>
            </w:r>
          </w:p>
          <w:p w14:paraId="6287D68F" w14:textId="77777777" w:rsidR="00097842" w:rsidRDefault="00097842" w:rsidP="00097842">
            <w:pPr>
              <w:jc w:val="both"/>
            </w:pPr>
          </w:p>
          <w:p w14:paraId="103F112E" w14:textId="77777777" w:rsidR="00097842" w:rsidRDefault="000D207F" w:rsidP="00097842">
            <w:pPr>
              <w:jc w:val="both"/>
            </w:pPr>
            <w:r>
              <w:t xml:space="preserve">The engrossed required the comptroller to obtain </w:t>
            </w:r>
            <w:r w:rsidRPr="001E1919">
              <w:t xml:space="preserve">in the name of </w:t>
            </w:r>
            <w:r>
              <w:t>the</w:t>
            </w:r>
            <w:r w:rsidRPr="001E1919">
              <w:t xml:space="preserve"> state title to any real property acquired or building constructed </w:t>
            </w:r>
            <w:r>
              <w:t>for the deposito</w:t>
            </w:r>
            <w:r>
              <w:t>ry</w:t>
            </w:r>
            <w:r w:rsidRPr="001E1919">
              <w:t xml:space="preserve"> and </w:t>
            </w:r>
            <w:r>
              <w:t xml:space="preserve">to </w:t>
            </w:r>
            <w:r w:rsidRPr="001E1919">
              <w:t>retain control of that real property at all times.</w:t>
            </w:r>
            <w:r>
              <w:t xml:space="preserve"> The substitute specifies that the requirement is subject to either agreement but does not include the specification present in the engrossed that the comptroller must retain control of the real p</w:t>
            </w:r>
            <w:r>
              <w:t>roperty at all times.</w:t>
            </w:r>
          </w:p>
          <w:p w14:paraId="5E82D465" w14:textId="77777777" w:rsidR="00097842" w:rsidRDefault="00097842" w:rsidP="00097842">
            <w:pPr>
              <w:jc w:val="both"/>
            </w:pPr>
          </w:p>
          <w:p w14:paraId="1561C212" w14:textId="5C1B19DB" w:rsidR="00097842" w:rsidRPr="00AF7BFB" w:rsidRDefault="000D207F" w:rsidP="00097842">
            <w:pPr>
              <w:jc w:val="both"/>
              <w:rPr>
                <w:b/>
                <w:u w:val="single"/>
              </w:rPr>
            </w:pPr>
            <w:r>
              <w:t xml:space="preserve">The engrossed authorized TPFA to sell the bonds </w:t>
            </w:r>
            <w:r w:rsidRPr="00CC40EA">
              <w:t>to acquire real property or construct a building to operate the depository</w:t>
            </w:r>
            <w:r>
              <w:t xml:space="preserve"> in any manner TPFA determines to be in the best interest of the comptroller, whereas the substitute authorizes</w:t>
            </w:r>
            <w:r>
              <w:t xml:space="preserve"> TPFA to issue and sell bonds for those purposes in any manner and on such terms TPFA determines to be in the best interest of the comptroller. The substitute subjects that authorization to certain </w:t>
            </w:r>
            <w:r w:rsidRPr="00CC40EA">
              <w:t>requirements regarding the examination and registration of</w:t>
            </w:r>
            <w:r w:rsidRPr="00CC40EA">
              <w:t xml:space="preserve"> public securities </w:t>
            </w:r>
            <w:r>
              <w:t>and does not include the prohibition present in the engrossed against TPFA selling a bond that has not been approved by the attorney general and registered with the comptroller.</w:t>
            </w:r>
          </w:p>
        </w:tc>
      </w:tr>
    </w:tbl>
    <w:p w14:paraId="25FF1996" w14:textId="77777777" w:rsidR="008423E4" w:rsidRPr="00BE0E75" w:rsidRDefault="008423E4" w:rsidP="0070780F">
      <w:pPr>
        <w:jc w:val="both"/>
        <w:rPr>
          <w:rFonts w:ascii="Arial" w:hAnsi="Arial"/>
          <w:sz w:val="16"/>
          <w:szCs w:val="16"/>
        </w:rPr>
      </w:pPr>
    </w:p>
    <w:sectPr w:rsidR="008423E4" w:rsidRPr="00BE0E75"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38ACD" w14:textId="77777777" w:rsidR="00000000" w:rsidRDefault="000D207F">
      <w:r>
        <w:separator/>
      </w:r>
    </w:p>
  </w:endnote>
  <w:endnote w:type="continuationSeparator" w:id="0">
    <w:p w14:paraId="51098AC2" w14:textId="77777777" w:rsidR="00000000" w:rsidRDefault="000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FB56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77453" w14:paraId="33C12153" w14:textId="77777777" w:rsidTr="009C1E9A">
      <w:trPr>
        <w:cantSplit/>
      </w:trPr>
      <w:tc>
        <w:tcPr>
          <w:tcW w:w="0" w:type="pct"/>
        </w:tcPr>
        <w:p w14:paraId="167CFD2C" w14:textId="77777777" w:rsidR="00137D90" w:rsidRDefault="00137D90" w:rsidP="009C1E9A">
          <w:pPr>
            <w:pStyle w:val="Footer"/>
            <w:tabs>
              <w:tab w:val="clear" w:pos="8640"/>
              <w:tab w:val="right" w:pos="9360"/>
            </w:tabs>
          </w:pPr>
        </w:p>
      </w:tc>
      <w:tc>
        <w:tcPr>
          <w:tcW w:w="2395" w:type="pct"/>
        </w:tcPr>
        <w:p w14:paraId="540935A8" w14:textId="77777777" w:rsidR="00137D90" w:rsidRDefault="00137D90" w:rsidP="009C1E9A">
          <w:pPr>
            <w:pStyle w:val="Footer"/>
            <w:tabs>
              <w:tab w:val="clear" w:pos="8640"/>
              <w:tab w:val="right" w:pos="9360"/>
            </w:tabs>
          </w:pPr>
        </w:p>
        <w:p w14:paraId="005C6279" w14:textId="77777777" w:rsidR="001A4310" w:rsidRDefault="001A4310" w:rsidP="009C1E9A">
          <w:pPr>
            <w:pStyle w:val="Footer"/>
            <w:tabs>
              <w:tab w:val="clear" w:pos="8640"/>
              <w:tab w:val="right" w:pos="9360"/>
            </w:tabs>
          </w:pPr>
        </w:p>
        <w:p w14:paraId="733A79C5" w14:textId="77777777" w:rsidR="00137D90" w:rsidRDefault="00137D90" w:rsidP="009C1E9A">
          <w:pPr>
            <w:pStyle w:val="Footer"/>
            <w:tabs>
              <w:tab w:val="clear" w:pos="8640"/>
              <w:tab w:val="right" w:pos="9360"/>
            </w:tabs>
          </w:pPr>
        </w:p>
      </w:tc>
      <w:tc>
        <w:tcPr>
          <w:tcW w:w="2453" w:type="pct"/>
        </w:tcPr>
        <w:p w14:paraId="255E7527" w14:textId="77777777" w:rsidR="00137D90" w:rsidRDefault="00137D90" w:rsidP="009C1E9A">
          <w:pPr>
            <w:pStyle w:val="Footer"/>
            <w:tabs>
              <w:tab w:val="clear" w:pos="8640"/>
              <w:tab w:val="right" w:pos="9360"/>
            </w:tabs>
            <w:jc w:val="right"/>
          </w:pPr>
        </w:p>
      </w:tc>
    </w:tr>
    <w:tr w:rsidR="00777453" w14:paraId="118E3640" w14:textId="77777777" w:rsidTr="009C1E9A">
      <w:trPr>
        <w:cantSplit/>
      </w:trPr>
      <w:tc>
        <w:tcPr>
          <w:tcW w:w="0" w:type="pct"/>
        </w:tcPr>
        <w:p w14:paraId="132843EC" w14:textId="77777777" w:rsidR="00EC379B" w:rsidRDefault="00EC379B" w:rsidP="009C1E9A">
          <w:pPr>
            <w:pStyle w:val="Footer"/>
            <w:tabs>
              <w:tab w:val="clear" w:pos="8640"/>
              <w:tab w:val="right" w:pos="9360"/>
            </w:tabs>
          </w:pPr>
        </w:p>
      </w:tc>
      <w:tc>
        <w:tcPr>
          <w:tcW w:w="2395" w:type="pct"/>
        </w:tcPr>
        <w:p w14:paraId="0AC27540" w14:textId="51F2535B" w:rsidR="00EC379B" w:rsidRPr="009C1E9A" w:rsidRDefault="000D207F" w:rsidP="009C1E9A">
          <w:pPr>
            <w:pStyle w:val="Footer"/>
            <w:tabs>
              <w:tab w:val="clear" w:pos="8640"/>
              <w:tab w:val="right" w:pos="9360"/>
            </w:tabs>
            <w:rPr>
              <w:rFonts w:ascii="Shruti" w:hAnsi="Shruti"/>
              <w:sz w:val="22"/>
            </w:rPr>
          </w:pPr>
          <w:r>
            <w:rPr>
              <w:rFonts w:ascii="Shruti" w:hAnsi="Shruti"/>
              <w:sz w:val="22"/>
            </w:rPr>
            <w:t>87R 28548</w:t>
          </w:r>
        </w:p>
      </w:tc>
      <w:tc>
        <w:tcPr>
          <w:tcW w:w="2453" w:type="pct"/>
        </w:tcPr>
        <w:p w14:paraId="6118DAC9" w14:textId="069E5558" w:rsidR="00EC379B" w:rsidRDefault="000D207F" w:rsidP="009C1E9A">
          <w:pPr>
            <w:pStyle w:val="Footer"/>
            <w:tabs>
              <w:tab w:val="clear" w:pos="8640"/>
              <w:tab w:val="right" w:pos="9360"/>
            </w:tabs>
            <w:jc w:val="right"/>
          </w:pPr>
          <w:r>
            <w:fldChar w:fldCharType="begin"/>
          </w:r>
          <w:r>
            <w:instrText xml:space="preserve"> DOCPROPERTY  OTID  \* MERGEFORMAT </w:instrText>
          </w:r>
          <w:r>
            <w:fldChar w:fldCharType="separate"/>
          </w:r>
          <w:r w:rsidR="00B02AE5">
            <w:t>21.141.590</w:t>
          </w:r>
          <w:r>
            <w:fldChar w:fldCharType="end"/>
          </w:r>
        </w:p>
      </w:tc>
    </w:tr>
    <w:tr w:rsidR="00777453" w14:paraId="7FB2EC74" w14:textId="77777777" w:rsidTr="009C1E9A">
      <w:trPr>
        <w:cantSplit/>
      </w:trPr>
      <w:tc>
        <w:tcPr>
          <w:tcW w:w="0" w:type="pct"/>
        </w:tcPr>
        <w:p w14:paraId="17C3F7F0" w14:textId="77777777" w:rsidR="00EC379B" w:rsidRDefault="00EC379B" w:rsidP="009C1E9A">
          <w:pPr>
            <w:pStyle w:val="Footer"/>
            <w:tabs>
              <w:tab w:val="clear" w:pos="4320"/>
              <w:tab w:val="clear" w:pos="8640"/>
              <w:tab w:val="left" w:pos="2865"/>
            </w:tabs>
          </w:pPr>
        </w:p>
      </w:tc>
      <w:tc>
        <w:tcPr>
          <w:tcW w:w="2395" w:type="pct"/>
        </w:tcPr>
        <w:p w14:paraId="540B7EFD" w14:textId="2FC42B9A" w:rsidR="00EC379B" w:rsidRPr="009C1E9A" w:rsidRDefault="000D207F" w:rsidP="009C1E9A">
          <w:pPr>
            <w:pStyle w:val="Footer"/>
            <w:tabs>
              <w:tab w:val="clear" w:pos="4320"/>
              <w:tab w:val="clear" w:pos="8640"/>
              <w:tab w:val="left" w:pos="2865"/>
            </w:tabs>
            <w:rPr>
              <w:rFonts w:ascii="Shruti" w:hAnsi="Shruti"/>
              <w:sz w:val="22"/>
            </w:rPr>
          </w:pPr>
          <w:r>
            <w:rPr>
              <w:rFonts w:ascii="Shruti" w:hAnsi="Shruti"/>
              <w:sz w:val="22"/>
            </w:rPr>
            <w:t>Substitute Document Number: 87R 27613</w:t>
          </w:r>
        </w:p>
      </w:tc>
      <w:tc>
        <w:tcPr>
          <w:tcW w:w="2453" w:type="pct"/>
        </w:tcPr>
        <w:p w14:paraId="581390B7" w14:textId="77777777" w:rsidR="00EC379B" w:rsidRDefault="00EC379B" w:rsidP="006D504F">
          <w:pPr>
            <w:pStyle w:val="Footer"/>
            <w:rPr>
              <w:rStyle w:val="PageNumber"/>
            </w:rPr>
          </w:pPr>
        </w:p>
        <w:p w14:paraId="01A3B066" w14:textId="77777777" w:rsidR="00EC379B" w:rsidRDefault="00EC379B" w:rsidP="009C1E9A">
          <w:pPr>
            <w:pStyle w:val="Footer"/>
            <w:tabs>
              <w:tab w:val="clear" w:pos="8640"/>
              <w:tab w:val="right" w:pos="9360"/>
            </w:tabs>
            <w:jc w:val="right"/>
          </w:pPr>
        </w:p>
      </w:tc>
    </w:tr>
    <w:tr w:rsidR="00777453" w14:paraId="6FFF5601" w14:textId="77777777" w:rsidTr="009C1E9A">
      <w:trPr>
        <w:cantSplit/>
        <w:trHeight w:val="323"/>
      </w:trPr>
      <w:tc>
        <w:tcPr>
          <w:tcW w:w="0" w:type="pct"/>
          <w:gridSpan w:val="3"/>
        </w:tcPr>
        <w:p w14:paraId="0E260F36" w14:textId="354B7094" w:rsidR="00EC379B" w:rsidRDefault="000D207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02AE5">
            <w:rPr>
              <w:rStyle w:val="PageNumber"/>
              <w:noProof/>
            </w:rPr>
            <w:t>2</w:t>
          </w:r>
          <w:r>
            <w:rPr>
              <w:rStyle w:val="PageNumber"/>
            </w:rPr>
            <w:fldChar w:fldCharType="end"/>
          </w:r>
        </w:p>
        <w:p w14:paraId="65224D60" w14:textId="77777777" w:rsidR="00EC379B" w:rsidRDefault="00EC379B" w:rsidP="009C1E9A">
          <w:pPr>
            <w:pStyle w:val="Footer"/>
            <w:tabs>
              <w:tab w:val="clear" w:pos="8640"/>
              <w:tab w:val="right" w:pos="9360"/>
            </w:tabs>
            <w:jc w:val="center"/>
          </w:pPr>
        </w:p>
      </w:tc>
    </w:tr>
  </w:tbl>
  <w:p w14:paraId="3193676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084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03B75" w14:textId="77777777" w:rsidR="00000000" w:rsidRDefault="000D207F">
      <w:r>
        <w:separator/>
      </w:r>
    </w:p>
  </w:footnote>
  <w:footnote w:type="continuationSeparator" w:id="0">
    <w:p w14:paraId="69097CA9" w14:textId="77777777" w:rsidR="00000000" w:rsidRDefault="000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522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B2A58"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2770"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E64DE"/>
    <w:multiLevelType w:val="hybridMultilevel"/>
    <w:tmpl w:val="A9B878E8"/>
    <w:lvl w:ilvl="0" w:tplc="7DA0066E">
      <w:start w:val="1"/>
      <w:numFmt w:val="bullet"/>
      <w:lvlText w:val=""/>
      <w:lvlJc w:val="left"/>
      <w:pPr>
        <w:tabs>
          <w:tab w:val="num" w:pos="720"/>
        </w:tabs>
        <w:ind w:left="720" w:hanging="360"/>
      </w:pPr>
      <w:rPr>
        <w:rFonts w:ascii="Symbol" w:hAnsi="Symbol" w:hint="default"/>
      </w:rPr>
    </w:lvl>
    <w:lvl w:ilvl="1" w:tplc="236E902C" w:tentative="1">
      <w:start w:val="1"/>
      <w:numFmt w:val="bullet"/>
      <w:lvlText w:val="o"/>
      <w:lvlJc w:val="left"/>
      <w:pPr>
        <w:ind w:left="1440" w:hanging="360"/>
      </w:pPr>
      <w:rPr>
        <w:rFonts w:ascii="Courier New" w:hAnsi="Courier New" w:cs="Courier New" w:hint="default"/>
      </w:rPr>
    </w:lvl>
    <w:lvl w:ilvl="2" w:tplc="68EA4D64" w:tentative="1">
      <w:start w:val="1"/>
      <w:numFmt w:val="bullet"/>
      <w:lvlText w:val=""/>
      <w:lvlJc w:val="left"/>
      <w:pPr>
        <w:ind w:left="2160" w:hanging="360"/>
      </w:pPr>
      <w:rPr>
        <w:rFonts w:ascii="Wingdings" w:hAnsi="Wingdings" w:hint="default"/>
      </w:rPr>
    </w:lvl>
    <w:lvl w:ilvl="3" w:tplc="5210BAFE" w:tentative="1">
      <w:start w:val="1"/>
      <w:numFmt w:val="bullet"/>
      <w:lvlText w:val=""/>
      <w:lvlJc w:val="left"/>
      <w:pPr>
        <w:ind w:left="2880" w:hanging="360"/>
      </w:pPr>
      <w:rPr>
        <w:rFonts w:ascii="Symbol" w:hAnsi="Symbol" w:hint="default"/>
      </w:rPr>
    </w:lvl>
    <w:lvl w:ilvl="4" w:tplc="3A58CA26" w:tentative="1">
      <w:start w:val="1"/>
      <w:numFmt w:val="bullet"/>
      <w:lvlText w:val="o"/>
      <w:lvlJc w:val="left"/>
      <w:pPr>
        <w:ind w:left="3600" w:hanging="360"/>
      </w:pPr>
      <w:rPr>
        <w:rFonts w:ascii="Courier New" w:hAnsi="Courier New" w:cs="Courier New" w:hint="default"/>
      </w:rPr>
    </w:lvl>
    <w:lvl w:ilvl="5" w:tplc="A2E8120E" w:tentative="1">
      <w:start w:val="1"/>
      <w:numFmt w:val="bullet"/>
      <w:lvlText w:val=""/>
      <w:lvlJc w:val="left"/>
      <w:pPr>
        <w:ind w:left="4320" w:hanging="360"/>
      </w:pPr>
      <w:rPr>
        <w:rFonts w:ascii="Wingdings" w:hAnsi="Wingdings" w:hint="default"/>
      </w:rPr>
    </w:lvl>
    <w:lvl w:ilvl="6" w:tplc="1778AF94" w:tentative="1">
      <w:start w:val="1"/>
      <w:numFmt w:val="bullet"/>
      <w:lvlText w:val=""/>
      <w:lvlJc w:val="left"/>
      <w:pPr>
        <w:ind w:left="5040" w:hanging="360"/>
      </w:pPr>
      <w:rPr>
        <w:rFonts w:ascii="Symbol" w:hAnsi="Symbol" w:hint="default"/>
      </w:rPr>
    </w:lvl>
    <w:lvl w:ilvl="7" w:tplc="48D47F2C" w:tentative="1">
      <w:start w:val="1"/>
      <w:numFmt w:val="bullet"/>
      <w:lvlText w:val="o"/>
      <w:lvlJc w:val="left"/>
      <w:pPr>
        <w:ind w:left="5760" w:hanging="360"/>
      </w:pPr>
      <w:rPr>
        <w:rFonts w:ascii="Courier New" w:hAnsi="Courier New" w:cs="Courier New" w:hint="default"/>
      </w:rPr>
    </w:lvl>
    <w:lvl w:ilvl="8" w:tplc="2AA2F20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97"/>
    <w:rsid w:val="00000A70"/>
    <w:rsid w:val="000032B8"/>
    <w:rsid w:val="00003B06"/>
    <w:rsid w:val="000054B9"/>
    <w:rsid w:val="00006984"/>
    <w:rsid w:val="00007461"/>
    <w:rsid w:val="0001117E"/>
    <w:rsid w:val="0001125F"/>
    <w:rsid w:val="0001338E"/>
    <w:rsid w:val="00013D24"/>
    <w:rsid w:val="00014AF0"/>
    <w:rsid w:val="000155D6"/>
    <w:rsid w:val="00015D4E"/>
    <w:rsid w:val="00017B81"/>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1617"/>
    <w:rsid w:val="00043B84"/>
    <w:rsid w:val="0004512B"/>
    <w:rsid w:val="000463F0"/>
    <w:rsid w:val="00046BDA"/>
    <w:rsid w:val="0004762E"/>
    <w:rsid w:val="000532BD"/>
    <w:rsid w:val="00055C12"/>
    <w:rsid w:val="000608B0"/>
    <w:rsid w:val="0006104C"/>
    <w:rsid w:val="00064BF2"/>
    <w:rsid w:val="000667BA"/>
    <w:rsid w:val="000676A7"/>
    <w:rsid w:val="000736FB"/>
    <w:rsid w:val="00073914"/>
    <w:rsid w:val="00074236"/>
    <w:rsid w:val="000746BD"/>
    <w:rsid w:val="00076D7D"/>
    <w:rsid w:val="00080D95"/>
    <w:rsid w:val="00090E6B"/>
    <w:rsid w:val="00091B2C"/>
    <w:rsid w:val="00092ABC"/>
    <w:rsid w:val="00097842"/>
    <w:rsid w:val="00097AAF"/>
    <w:rsid w:val="00097D13"/>
    <w:rsid w:val="000A12E4"/>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07F"/>
    <w:rsid w:val="000D2EBA"/>
    <w:rsid w:val="000D32A1"/>
    <w:rsid w:val="000D3725"/>
    <w:rsid w:val="000D46E5"/>
    <w:rsid w:val="000D769C"/>
    <w:rsid w:val="000E1976"/>
    <w:rsid w:val="000E20F1"/>
    <w:rsid w:val="000E3A0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618C"/>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1919"/>
    <w:rsid w:val="001E2CAD"/>
    <w:rsid w:val="001E34DB"/>
    <w:rsid w:val="001E3686"/>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866"/>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18D"/>
    <w:rsid w:val="002734D6"/>
    <w:rsid w:val="00274C45"/>
    <w:rsid w:val="00275109"/>
    <w:rsid w:val="00275BEE"/>
    <w:rsid w:val="00277434"/>
    <w:rsid w:val="00280123"/>
    <w:rsid w:val="00280722"/>
    <w:rsid w:val="00281343"/>
    <w:rsid w:val="00281883"/>
    <w:rsid w:val="002874E3"/>
    <w:rsid w:val="00287656"/>
    <w:rsid w:val="00291518"/>
    <w:rsid w:val="00291C97"/>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04648"/>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9A3"/>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659B"/>
    <w:rsid w:val="003A0296"/>
    <w:rsid w:val="003A10BC"/>
    <w:rsid w:val="003B1501"/>
    <w:rsid w:val="003B185E"/>
    <w:rsid w:val="003B198A"/>
    <w:rsid w:val="003B1CA3"/>
    <w:rsid w:val="003B1ED9"/>
    <w:rsid w:val="003B2891"/>
    <w:rsid w:val="003B3ACC"/>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E7E6B"/>
    <w:rsid w:val="003F1F5E"/>
    <w:rsid w:val="003F286A"/>
    <w:rsid w:val="003F77F8"/>
    <w:rsid w:val="004006ED"/>
    <w:rsid w:val="00400ACD"/>
    <w:rsid w:val="00403B15"/>
    <w:rsid w:val="00403E8A"/>
    <w:rsid w:val="004101E4"/>
    <w:rsid w:val="00410661"/>
    <w:rsid w:val="004108C3"/>
    <w:rsid w:val="00410B33"/>
    <w:rsid w:val="004120CC"/>
    <w:rsid w:val="00412ED2"/>
    <w:rsid w:val="00412F0F"/>
    <w:rsid w:val="004134CE"/>
    <w:rsid w:val="004136A8"/>
    <w:rsid w:val="00413F2F"/>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6A87"/>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B7E2E"/>
    <w:rsid w:val="004C204E"/>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6AD6"/>
    <w:rsid w:val="005073E8"/>
    <w:rsid w:val="00510503"/>
    <w:rsid w:val="00513241"/>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2AE1"/>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2BF3"/>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0F"/>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52F9"/>
    <w:rsid w:val="00777453"/>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C74E8"/>
    <w:rsid w:val="007D2892"/>
    <w:rsid w:val="007D2DCC"/>
    <w:rsid w:val="007D47E1"/>
    <w:rsid w:val="007D7FCB"/>
    <w:rsid w:val="007E33B6"/>
    <w:rsid w:val="007E59E8"/>
    <w:rsid w:val="007F3861"/>
    <w:rsid w:val="007F4162"/>
    <w:rsid w:val="007F4A34"/>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8CC"/>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A718E"/>
    <w:rsid w:val="008B05D8"/>
    <w:rsid w:val="008B0B3D"/>
    <w:rsid w:val="008B2B1A"/>
    <w:rsid w:val="008B302A"/>
    <w:rsid w:val="008B3428"/>
    <w:rsid w:val="008B7785"/>
    <w:rsid w:val="008C0809"/>
    <w:rsid w:val="008C132C"/>
    <w:rsid w:val="008C3FD0"/>
    <w:rsid w:val="008D27A5"/>
    <w:rsid w:val="008D2AAB"/>
    <w:rsid w:val="008D309C"/>
    <w:rsid w:val="008D56A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2A9A"/>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2619"/>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9F7688"/>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494A"/>
    <w:rsid w:val="00A35D66"/>
    <w:rsid w:val="00A41085"/>
    <w:rsid w:val="00A425FA"/>
    <w:rsid w:val="00A43960"/>
    <w:rsid w:val="00A46902"/>
    <w:rsid w:val="00A50CDB"/>
    <w:rsid w:val="00A51F3E"/>
    <w:rsid w:val="00A5364B"/>
    <w:rsid w:val="00A54142"/>
    <w:rsid w:val="00A54C42"/>
    <w:rsid w:val="00A572B1"/>
    <w:rsid w:val="00A577AF"/>
    <w:rsid w:val="00A60177"/>
    <w:rsid w:val="00A61A55"/>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16B"/>
    <w:rsid w:val="00AC6900"/>
    <w:rsid w:val="00AD304B"/>
    <w:rsid w:val="00AD4497"/>
    <w:rsid w:val="00AD7780"/>
    <w:rsid w:val="00AE2263"/>
    <w:rsid w:val="00AE248E"/>
    <w:rsid w:val="00AE2D12"/>
    <w:rsid w:val="00AE2F06"/>
    <w:rsid w:val="00AE4F1C"/>
    <w:rsid w:val="00AF1433"/>
    <w:rsid w:val="00AF48B4"/>
    <w:rsid w:val="00AF4923"/>
    <w:rsid w:val="00AF7BFB"/>
    <w:rsid w:val="00AF7C74"/>
    <w:rsid w:val="00B000AF"/>
    <w:rsid w:val="00B02AE5"/>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31FE"/>
    <w:rsid w:val="00B95BC8"/>
    <w:rsid w:val="00B96E87"/>
    <w:rsid w:val="00BA146A"/>
    <w:rsid w:val="00BA32EE"/>
    <w:rsid w:val="00BB5B36"/>
    <w:rsid w:val="00BC027B"/>
    <w:rsid w:val="00BC1C85"/>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3D3"/>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8DC"/>
    <w:rsid w:val="00CB4B4B"/>
    <w:rsid w:val="00CB4B73"/>
    <w:rsid w:val="00CB74CB"/>
    <w:rsid w:val="00CB793B"/>
    <w:rsid w:val="00CB7E04"/>
    <w:rsid w:val="00CC24B7"/>
    <w:rsid w:val="00CC40EA"/>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0582"/>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009"/>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49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6A5E"/>
    <w:rsid w:val="00F672B2"/>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E7200"/>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0FE5D1-6E85-4BD6-961A-5A3088AE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736FB"/>
    <w:rPr>
      <w:sz w:val="16"/>
      <w:szCs w:val="16"/>
    </w:rPr>
  </w:style>
  <w:style w:type="paragraph" w:styleId="CommentText">
    <w:name w:val="annotation text"/>
    <w:basedOn w:val="Normal"/>
    <w:link w:val="CommentTextChar"/>
    <w:unhideWhenUsed/>
    <w:rsid w:val="000736FB"/>
    <w:rPr>
      <w:sz w:val="20"/>
      <w:szCs w:val="20"/>
    </w:rPr>
  </w:style>
  <w:style w:type="character" w:customStyle="1" w:styleId="CommentTextChar">
    <w:name w:val="Comment Text Char"/>
    <w:basedOn w:val="DefaultParagraphFont"/>
    <w:link w:val="CommentText"/>
    <w:rsid w:val="000736FB"/>
  </w:style>
  <w:style w:type="paragraph" w:styleId="CommentSubject">
    <w:name w:val="annotation subject"/>
    <w:basedOn w:val="CommentText"/>
    <w:next w:val="CommentText"/>
    <w:link w:val="CommentSubjectChar"/>
    <w:semiHidden/>
    <w:unhideWhenUsed/>
    <w:rsid w:val="000736FB"/>
    <w:rPr>
      <w:b/>
      <w:bCs/>
    </w:rPr>
  </w:style>
  <w:style w:type="character" w:customStyle="1" w:styleId="CommentSubjectChar">
    <w:name w:val="Comment Subject Char"/>
    <w:basedOn w:val="CommentTextChar"/>
    <w:link w:val="CommentSubject"/>
    <w:semiHidden/>
    <w:rsid w:val="00073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1092</Words>
  <Characters>5906</Characters>
  <Application>Microsoft Office Word</Application>
  <DocSecurity>4</DocSecurity>
  <Lines>111</Lines>
  <Paragraphs>26</Paragraphs>
  <ScaleCrop>false</ScaleCrop>
  <HeadingPairs>
    <vt:vector size="2" baseType="variant">
      <vt:variant>
        <vt:lpstr>Title</vt:lpstr>
      </vt:variant>
      <vt:variant>
        <vt:i4>1</vt:i4>
      </vt:variant>
    </vt:vector>
  </HeadingPairs>
  <TitlesOfParts>
    <vt:vector size="1" baseType="lpstr">
      <vt:lpstr>BA - SB02230 (Committee Report (Substituted))</vt:lpstr>
    </vt:vector>
  </TitlesOfParts>
  <Company>State of Texas</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28548</dc:subject>
  <dc:creator>State of Texas</dc:creator>
  <dc:description>SB 2230 by Schwertner-(H)Pensions, Investments &amp; Financial Services (Substitute Document Number: 87R 27613)</dc:description>
  <cp:lastModifiedBy>Damian Duarte</cp:lastModifiedBy>
  <cp:revision>2</cp:revision>
  <cp:lastPrinted>2003-11-26T17:21:00Z</cp:lastPrinted>
  <dcterms:created xsi:type="dcterms:W3CDTF">2021-05-21T18:06:00Z</dcterms:created>
  <dcterms:modified xsi:type="dcterms:W3CDTF">2021-05-21T18:06:00Z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21.141.590</vt:lpwstr>
  </property>
</Properties>
</file>