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448F0" w14:paraId="6F2E0914" w14:textId="77777777" w:rsidTr="00345119">
        <w:tc>
          <w:tcPr>
            <w:tcW w:w="9576" w:type="dxa"/>
            <w:noWrap/>
          </w:tcPr>
          <w:p w14:paraId="24B281E6" w14:textId="77777777" w:rsidR="008423E4" w:rsidRPr="0022177D" w:rsidRDefault="00136450" w:rsidP="00E05D74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541F2AC4" w14:textId="77777777" w:rsidR="008423E4" w:rsidRPr="0022177D" w:rsidRDefault="008423E4" w:rsidP="00E05D74">
      <w:pPr>
        <w:jc w:val="center"/>
      </w:pPr>
    </w:p>
    <w:p w14:paraId="4AB88DA0" w14:textId="77777777" w:rsidR="008423E4" w:rsidRPr="00B31F0E" w:rsidRDefault="008423E4" w:rsidP="00E05D74"/>
    <w:p w14:paraId="251E0699" w14:textId="77777777" w:rsidR="008423E4" w:rsidRPr="00742794" w:rsidRDefault="008423E4" w:rsidP="00E05D7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48F0" w14:paraId="0BE6ED1B" w14:textId="77777777" w:rsidTr="00345119">
        <w:tc>
          <w:tcPr>
            <w:tcW w:w="9576" w:type="dxa"/>
          </w:tcPr>
          <w:p w14:paraId="0BEFDC66" w14:textId="77777777" w:rsidR="008423E4" w:rsidRPr="00861995" w:rsidRDefault="00136450" w:rsidP="00E05D74">
            <w:pPr>
              <w:jc w:val="right"/>
            </w:pPr>
            <w:r>
              <w:t>S.J.R. 47</w:t>
            </w:r>
          </w:p>
        </w:tc>
      </w:tr>
      <w:tr w:rsidR="000448F0" w14:paraId="140CC2FD" w14:textId="77777777" w:rsidTr="00345119">
        <w:tc>
          <w:tcPr>
            <w:tcW w:w="9576" w:type="dxa"/>
          </w:tcPr>
          <w:p w14:paraId="3522D331" w14:textId="77777777" w:rsidR="008423E4" w:rsidRPr="00861995" w:rsidRDefault="00136450" w:rsidP="00E05D74">
            <w:pPr>
              <w:jc w:val="right"/>
            </w:pPr>
            <w:r>
              <w:t xml:space="preserve">By: </w:t>
            </w:r>
            <w:r w:rsidR="009408FE">
              <w:t>Huffman</w:t>
            </w:r>
          </w:p>
        </w:tc>
      </w:tr>
      <w:tr w:rsidR="000448F0" w14:paraId="68BA2F3C" w14:textId="77777777" w:rsidTr="00345119">
        <w:tc>
          <w:tcPr>
            <w:tcW w:w="9576" w:type="dxa"/>
          </w:tcPr>
          <w:p w14:paraId="48A122A0" w14:textId="77777777" w:rsidR="008423E4" w:rsidRPr="00861995" w:rsidRDefault="00136450" w:rsidP="00E05D74">
            <w:pPr>
              <w:jc w:val="right"/>
            </w:pPr>
            <w:r>
              <w:t>Judiciary &amp; Civil Jurisprudence</w:t>
            </w:r>
          </w:p>
        </w:tc>
      </w:tr>
      <w:tr w:rsidR="000448F0" w14:paraId="74E806F2" w14:textId="77777777" w:rsidTr="00345119">
        <w:tc>
          <w:tcPr>
            <w:tcW w:w="9576" w:type="dxa"/>
          </w:tcPr>
          <w:p w14:paraId="49B30C34" w14:textId="77777777" w:rsidR="008423E4" w:rsidRDefault="00136450" w:rsidP="00E05D74">
            <w:pPr>
              <w:jc w:val="right"/>
            </w:pPr>
            <w:r>
              <w:t>Committee Report (Unamended)</w:t>
            </w:r>
          </w:p>
        </w:tc>
      </w:tr>
    </w:tbl>
    <w:p w14:paraId="045F6CE0" w14:textId="77777777" w:rsidR="008423E4" w:rsidRDefault="008423E4" w:rsidP="00E05D74">
      <w:pPr>
        <w:tabs>
          <w:tab w:val="right" w:pos="9360"/>
        </w:tabs>
      </w:pPr>
    </w:p>
    <w:p w14:paraId="5BE083B2" w14:textId="77777777" w:rsidR="008423E4" w:rsidRDefault="008423E4" w:rsidP="00E05D74"/>
    <w:p w14:paraId="4F2937F4" w14:textId="77777777" w:rsidR="008423E4" w:rsidRDefault="008423E4" w:rsidP="00E05D7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448F0" w14:paraId="5856F70E" w14:textId="77777777" w:rsidTr="00345119">
        <w:tc>
          <w:tcPr>
            <w:tcW w:w="9576" w:type="dxa"/>
          </w:tcPr>
          <w:p w14:paraId="7B5461E1" w14:textId="77777777" w:rsidR="008423E4" w:rsidRPr="00A8133F" w:rsidRDefault="00136450" w:rsidP="00E05D7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3BF78F" w14:textId="77777777" w:rsidR="008423E4" w:rsidRDefault="008423E4" w:rsidP="00E05D74"/>
          <w:p w14:paraId="6A952ED8" w14:textId="4C239CDF" w:rsidR="008423E4" w:rsidRDefault="00136450" w:rsidP="00E05D74">
            <w:pPr>
              <w:pStyle w:val="Header"/>
              <w:jc w:val="both"/>
            </w:pPr>
            <w:r>
              <w:t>Concerns have been raised regarding the eligibility requirements for certain judicial offices</w:t>
            </w:r>
            <w:r w:rsidR="00850458">
              <w:t xml:space="preserve"> in Texas</w:t>
            </w:r>
            <w:r>
              <w:t xml:space="preserve">. It has been </w:t>
            </w:r>
            <w:r>
              <w:t>suggested</w:t>
            </w:r>
            <w:r w:rsidR="009408FE">
              <w:t xml:space="preserve"> that the required qualifications for </w:t>
            </w:r>
            <w:r>
              <w:t>these</w:t>
            </w:r>
            <w:r w:rsidR="009408FE">
              <w:t xml:space="preserve"> offices should be strengthened to ensure the quality of the state's judicial system. S.J.R. 47 </w:t>
            </w:r>
            <w:r>
              <w:t xml:space="preserve">seeks to address this issue by proposing </w:t>
            </w:r>
            <w:r w:rsidR="009408FE">
              <w:t xml:space="preserve">a constitutional amendment </w:t>
            </w:r>
            <w:r>
              <w:t xml:space="preserve">to revise </w:t>
            </w:r>
            <w:r w:rsidR="009408FE">
              <w:t xml:space="preserve">the eligibility requirements for </w:t>
            </w:r>
            <w:r w:rsidR="00850458">
              <w:t xml:space="preserve">a district judge and </w:t>
            </w:r>
            <w:r>
              <w:t>a justice of the Texas Supreme Court</w:t>
            </w:r>
            <w:r w:rsidR="000A05E0">
              <w:t>, a judge of the Texas Court of Criminal Appeals, and a justice of a court of appeals</w:t>
            </w:r>
            <w:r w:rsidR="009408FE">
              <w:t>.</w:t>
            </w:r>
          </w:p>
          <w:p w14:paraId="78330515" w14:textId="77777777" w:rsidR="008423E4" w:rsidRPr="00E26B13" w:rsidRDefault="008423E4" w:rsidP="00E05D74">
            <w:pPr>
              <w:rPr>
                <w:b/>
              </w:rPr>
            </w:pPr>
          </w:p>
        </w:tc>
      </w:tr>
      <w:tr w:rsidR="000448F0" w14:paraId="435D72A8" w14:textId="77777777" w:rsidTr="00345119">
        <w:tc>
          <w:tcPr>
            <w:tcW w:w="9576" w:type="dxa"/>
          </w:tcPr>
          <w:p w14:paraId="1B50BAD1" w14:textId="77777777" w:rsidR="0017725B" w:rsidRDefault="00136450" w:rsidP="00E05D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31B9888" w14:textId="77777777" w:rsidR="0017725B" w:rsidRDefault="0017725B" w:rsidP="00E05D74">
            <w:pPr>
              <w:rPr>
                <w:b/>
                <w:u w:val="single"/>
              </w:rPr>
            </w:pPr>
          </w:p>
          <w:p w14:paraId="54B73A26" w14:textId="77777777" w:rsidR="009408FE" w:rsidRPr="009408FE" w:rsidRDefault="00136450" w:rsidP="00E05D74">
            <w:pPr>
              <w:jc w:val="both"/>
            </w:pPr>
            <w:r>
              <w:t>It is the committee's opinion that this resolution does not expressly create a cri</w:t>
            </w:r>
            <w:r>
              <w:t>minal offense, increase the punishment for an existing criminal offense or category of offenses, or change the eligibility of a person for community supervision, parole, or mandatory supervision.</w:t>
            </w:r>
          </w:p>
          <w:p w14:paraId="143EAC1C" w14:textId="77777777" w:rsidR="0017725B" w:rsidRPr="0017725B" w:rsidRDefault="0017725B" w:rsidP="00E05D74">
            <w:pPr>
              <w:rPr>
                <w:b/>
                <w:u w:val="single"/>
              </w:rPr>
            </w:pPr>
          </w:p>
        </w:tc>
      </w:tr>
      <w:tr w:rsidR="000448F0" w14:paraId="06069773" w14:textId="77777777" w:rsidTr="00345119">
        <w:tc>
          <w:tcPr>
            <w:tcW w:w="9576" w:type="dxa"/>
          </w:tcPr>
          <w:p w14:paraId="7304719E" w14:textId="77777777" w:rsidR="008423E4" w:rsidRPr="00A8133F" w:rsidRDefault="00136450" w:rsidP="00E05D7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C87AB65" w14:textId="77777777" w:rsidR="008423E4" w:rsidRDefault="008423E4" w:rsidP="00E05D74"/>
          <w:p w14:paraId="4BC6F1DF" w14:textId="77777777" w:rsidR="009408FE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resolution does not expressly grant any additional rulemaking authority to a state officer, department, agency, or institution.</w:t>
            </w:r>
          </w:p>
          <w:p w14:paraId="2A39C9FC" w14:textId="77777777" w:rsidR="008423E4" w:rsidRPr="00E21FDC" w:rsidRDefault="008423E4" w:rsidP="00E05D74">
            <w:pPr>
              <w:rPr>
                <w:b/>
              </w:rPr>
            </w:pPr>
          </w:p>
        </w:tc>
      </w:tr>
      <w:tr w:rsidR="000448F0" w14:paraId="56D09469" w14:textId="77777777" w:rsidTr="00345119">
        <w:tc>
          <w:tcPr>
            <w:tcW w:w="9576" w:type="dxa"/>
          </w:tcPr>
          <w:p w14:paraId="45ECD485" w14:textId="77777777" w:rsidR="008423E4" w:rsidRPr="00A8133F" w:rsidRDefault="00136450" w:rsidP="00E05D7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9A1BF92" w14:textId="77777777" w:rsidR="008423E4" w:rsidRDefault="008423E4" w:rsidP="00E05D74"/>
          <w:p w14:paraId="3D3F01EE" w14:textId="0577ECF6" w:rsidR="00ED471D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S.J.R. 47 proposes an amendment to the Texas Constitution to revise the eligibility requirements for certain judicial offices. The resolution revises eligibility requirements for a justice of the Texas S</w:t>
            </w:r>
            <w:r w:rsidR="008148B7">
              <w:t>upreme Court</w:t>
            </w:r>
            <w:r w:rsidR="00E508C2">
              <w:t>,</w:t>
            </w:r>
            <w:r w:rsidR="000A05E0">
              <w:t xml:space="preserve"> a</w:t>
            </w:r>
            <w:r w:rsidR="00E508C2">
              <w:t xml:space="preserve"> judge of the </w:t>
            </w:r>
            <w:r w:rsidR="006261B9">
              <w:t>Texas C</w:t>
            </w:r>
            <w:r w:rsidR="00E508C2">
              <w:t xml:space="preserve">ourt of </w:t>
            </w:r>
            <w:r w:rsidR="006261B9">
              <w:t>C</w:t>
            </w:r>
            <w:r w:rsidR="00E508C2">
              <w:t>riminal</w:t>
            </w:r>
            <w:r w:rsidR="006261B9">
              <w:t xml:space="preserve"> A</w:t>
            </w:r>
            <w:r w:rsidR="00E508C2">
              <w:t xml:space="preserve">ppeals, and </w:t>
            </w:r>
            <w:r w:rsidR="000A05E0">
              <w:t xml:space="preserve">a </w:t>
            </w:r>
            <w:r w:rsidR="00E508C2">
              <w:t>justice of a court of appeals</w:t>
            </w:r>
            <w:r w:rsidR="008148B7">
              <w:t xml:space="preserve"> </w:t>
            </w:r>
            <w:r w:rsidR="00926B9E">
              <w:t>as follows</w:t>
            </w:r>
            <w:r>
              <w:t>:</w:t>
            </w:r>
          </w:p>
          <w:p w14:paraId="3539E2A6" w14:textId="3E82DCB2" w:rsidR="009C36CD" w:rsidRDefault="00136450" w:rsidP="00E05D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clarifies that</w:t>
            </w:r>
            <w:r w:rsidR="00926B9E">
              <w:t xml:space="preserve"> </w:t>
            </w:r>
            <w:r w:rsidR="00ED471D">
              <w:t xml:space="preserve">the </w:t>
            </w:r>
            <w:r w:rsidR="00CD0B73">
              <w:t>justice</w:t>
            </w:r>
            <w:r w:rsidR="000A05E0">
              <w:t xml:space="preserve"> or judge</w:t>
            </w:r>
            <w:r w:rsidR="00ED471D">
              <w:t xml:space="preserve"> </w:t>
            </w:r>
            <w:r>
              <w:t xml:space="preserve">must </w:t>
            </w:r>
            <w:r w:rsidR="00ED471D">
              <w:t>be a Texas resident at the time of election</w:t>
            </w:r>
            <w:r w:rsidR="003E6BB8">
              <w:t>;</w:t>
            </w:r>
          </w:p>
          <w:p w14:paraId="08B8D652" w14:textId="3D596877" w:rsidR="003E6BB8" w:rsidRDefault="00136450" w:rsidP="00E05D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</w:t>
            </w:r>
            <w:r w:rsidR="00CD0B73">
              <w:t>justice</w:t>
            </w:r>
            <w:r w:rsidR="000A05E0">
              <w:t xml:space="preserve"> or judge</w:t>
            </w:r>
            <w:r>
              <w:t xml:space="preserve"> to have been either a practicing lawyer licensed in Texas for at least ten years or</w:t>
            </w:r>
            <w:r>
              <w:t xml:space="preserve"> a practicing lawyer licensed in Texas and judge of a state court or county court established by the legislature by statute for a combined total of at least ten years; and</w:t>
            </w:r>
          </w:p>
          <w:p w14:paraId="3602BD5D" w14:textId="1BE7DD4B" w:rsidR="003E6BB8" w:rsidRDefault="00136450" w:rsidP="00E05D7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requires the </w:t>
            </w:r>
            <w:r w:rsidR="00CD0B73">
              <w:t>justice</w:t>
            </w:r>
            <w:r w:rsidR="000A05E0">
              <w:t xml:space="preserve"> or judge</w:t>
            </w:r>
            <w:r>
              <w:t xml:space="preserve">, during that time, to have </w:t>
            </w:r>
            <w:r w:rsidR="00E70323">
              <w:t xml:space="preserve">maintained </w:t>
            </w:r>
            <w:r>
              <w:t xml:space="preserve">the </w:t>
            </w:r>
            <w:r w:rsidR="00E70323">
              <w:t xml:space="preserve">license to practice law without </w:t>
            </w:r>
            <w:r>
              <w:t>it having been revoked, suspended, or subject to a probated suspension</w:t>
            </w:r>
            <w:r w:rsidR="00E70323">
              <w:t>.</w:t>
            </w:r>
          </w:p>
          <w:p w14:paraId="22276DC2" w14:textId="77777777" w:rsidR="003E6BB8" w:rsidRDefault="003E6BB8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DAA5E34" w14:textId="1CBB1DED" w:rsidR="00E70323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S.J.R. 47 revises eligibility requirements for a district judge </w:t>
            </w:r>
            <w:r w:rsidR="0063048A">
              <w:t>as follows</w:t>
            </w:r>
            <w:r>
              <w:t>:</w:t>
            </w:r>
          </w:p>
          <w:p w14:paraId="6BECC99A" w14:textId="7CD57A08" w:rsidR="00E70323" w:rsidRDefault="00136450" w:rsidP="00E05D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clarifies that </w:t>
            </w:r>
            <w:r w:rsidR="00CD0B73">
              <w:t xml:space="preserve">the judge </w:t>
            </w:r>
            <w:r>
              <w:t xml:space="preserve">must </w:t>
            </w:r>
            <w:r w:rsidR="00CD0B73">
              <w:t>be a Texas resident; and</w:t>
            </w:r>
          </w:p>
          <w:p w14:paraId="0E181743" w14:textId="0BDA6AF0" w:rsidR="00CD0B73" w:rsidRDefault="00136450" w:rsidP="00E05D7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increases the period for which t</w:t>
            </w:r>
            <w:r>
              <w:t xml:space="preserve">he judge must have been a practicing lawyer or a judge of a court in Texas, or both combined, from four years to eight years </w:t>
            </w:r>
            <w:r w:rsidR="00594F48">
              <w:t>before</w:t>
            </w:r>
            <w:r>
              <w:t xml:space="preserve"> the judge's election, and adds the condition that during </w:t>
            </w:r>
            <w:r w:rsidR="00534FA6">
              <w:t xml:space="preserve">that </w:t>
            </w:r>
            <w:r>
              <w:t xml:space="preserve">time the judge's license to practice law has </w:t>
            </w:r>
            <w:r w:rsidR="00594F48">
              <w:t>not</w:t>
            </w:r>
            <w:r>
              <w:t xml:space="preserve"> </w:t>
            </w:r>
            <w:r w:rsidR="006A4D67">
              <w:t xml:space="preserve">been </w:t>
            </w:r>
            <w:r>
              <w:t>revoked,</w:t>
            </w:r>
            <w:r>
              <w:t xml:space="preserve"> suspended, or subject to a probated suspension.</w:t>
            </w:r>
          </w:p>
          <w:p w14:paraId="0F82618E" w14:textId="4EA8D501" w:rsidR="00CD0B73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3348A3">
              <w:t xml:space="preserve">resolution </w:t>
            </w:r>
            <w:r>
              <w:t xml:space="preserve">specifies that the eligibility requirements apply with respect for eligibility for appointment or election as a district judge. </w:t>
            </w:r>
          </w:p>
          <w:p w14:paraId="026054EC" w14:textId="77777777" w:rsidR="006A4D67" w:rsidRDefault="006A4D67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69DE33F" w14:textId="6A07EE86" w:rsidR="00CD0B73" w:rsidRPr="009C36CD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S.J.R. 47 establishes that its </w:t>
            </w:r>
            <w:r w:rsidR="005018E8">
              <w:t>provisions</w:t>
            </w:r>
            <w:r>
              <w:t xml:space="preserve"> take effect January </w:t>
            </w:r>
            <w:r>
              <w:t>1, 2022</w:t>
            </w:r>
            <w:r w:rsidR="005018E8">
              <w:t>,</w:t>
            </w:r>
            <w:r>
              <w:t xml:space="preserve"> and apply only to a</w:t>
            </w:r>
            <w:r w:rsidR="000A05E0">
              <w:t>n applicable</w:t>
            </w:r>
            <w:r>
              <w:t xml:space="preserve"> </w:t>
            </w:r>
            <w:r w:rsidR="004A226A">
              <w:t>justice</w:t>
            </w:r>
            <w:r w:rsidR="000A05E0">
              <w:t xml:space="preserve"> </w:t>
            </w:r>
            <w:r w:rsidR="004A226A">
              <w:t xml:space="preserve">or judge who is first elected </w:t>
            </w:r>
            <w:r w:rsidR="004A226A" w:rsidRPr="004A226A">
              <w:t>for a term that begins on or after January 1, 2025, or who is appointed on or after that date.</w:t>
            </w:r>
          </w:p>
          <w:p w14:paraId="75FF1B8B" w14:textId="77777777" w:rsidR="008423E4" w:rsidRPr="00835628" w:rsidRDefault="008423E4" w:rsidP="00E05D74">
            <w:pPr>
              <w:rPr>
                <w:b/>
              </w:rPr>
            </w:pPr>
          </w:p>
        </w:tc>
      </w:tr>
      <w:tr w:rsidR="000448F0" w14:paraId="00887C2E" w14:textId="77777777" w:rsidTr="00345119">
        <w:tc>
          <w:tcPr>
            <w:tcW w:w="9576" w:type="dxa"/>
          </w:tcPr>
          <w:p w14:paraId="1ADA7629" w14:textId="77777777" w:rsidR="008423E4" w:rsidRPr="00A8133F" w:rsidRDefault="00136450" w:rsidP="00E05D74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49F3B998" w14:textId="77777777" w:rsidR="008423E4" w:rsidRDefault="008423E4" w:rsidP="00E05D74"/>
          <w:p w14:paraId="2623C6A0" w14:textId="77777777" w:rsidR="008423E4" w:rsidRPr="003624F2" w:rsidRDefault="00136450" w:rsidP="00E05D7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</w:t>
            </w:r>
            <w:r>
              <w:t>will be submitted to the voters at an election to be held November 2, 2021.</w:t>
            </w:r>
          </w:p>
          <w:p w14:paraId="4587A9C3" w14:textId="77777777" w:rsidR="008423E4" w:rsidRPr="00233FDB" w:rsidRDefault="008423E4" w:rsidP="00E05D74">
            <w:pPr>
              <w:rPr>
                <w:b/>
              </w:rPr>
            </w:pPr>
          </w:p>
        </w:tc>
      </w:tr>
    </w:tbl>
    <w:p w14:paraId="0F109820" w14:textId="77777777" w:rsidR="008423E4" w:rsidRPr="00BE0E75" w:rsidRDefault="008423E4" w:rsidP="00E05D74">
      <w:pPr>
        <w:jc w:val="both"/>
        <w:rPr>
          <w:rFonts w:ascii="Arial" w:hAnsi="Arial"/>
          <w:sz w:val="16"/>
          <w:szCs w:val="16"/>
        </w:rPr>
      </w:pPr>
    </w:p>
    <w:p w14:paraId="0AA8CBF0" w14:textId="77777777" w:rsidR="004108C3" w:rsidRPr="008423E4" w:rsidRDefault="004108C3" w:rsidP="00E05D7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1918" w14:textId="77777777" w:rsidR="00000000" w:rsidRDefault="00136450">
      <w:r>
        <w:separator/>
      </w:r>
    </w:p>
  </w:endnote>
  <w:endnote w:type="continuationSeparator" w:id="0">
    <w:p w14:paraId="707F2410" w14:textId="77777777" w:rsidR="00000000" w:rsidRDefault="001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4A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48F0" w14:paraId="342594C7" w14:textId="77777777" w:rsidTr="009C1E9A">
      <w:trPr>
        <w:cantSplit/>
      </w:trPr>
      <w:tc>
        <w:tcPr>
          <w:tcW w:w="0" w:type="pct"/>
        </w:tcPr>
        <w:p w14:paraId="42A57D7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1CBB0D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4C548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15324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9B91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8F0" w14:paraId="63406584" w14:textId="77777777" w:rsidTr="009C1E9A">
      <w:trPr>
        <w:cantSplit/>
      </w:trPr>
      <w:tc>
        <w:tcPr>
          <w:tcW w:w="0" w:type="pct"/>
        </w:tcPr>
        <w:p w14:paraId="20C95BE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D77CF0" w14:textId="77777777" w:rsidR="00EC379B" w:rsidRPr="009C1E9A" w:rsidRDefault="0013645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25873</w:t>
          </w:r>
        </w:p>
      </w:tc>
      <w:tc>
        <w:tcPr>
          <w:tcW w:w="2453" w:type="pct"/>
        </w:tcPr>
        <w:p w14:paraId="50E10317" w14:textId="3E0070F0" w:rsidR="00EC379B" w:rsidRDefault="0013645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B65A4">
            <w:t>21.130.1847</w:t>
          </w:r>
          <w:r>
            <w:fldChar w:fldCharType="end"/>
          </w:r>
        </w:p>
      </w:tc>
    </w:tr>
    <w:tr w:rsidR="000448F0" w14:paraId="6B2E9C64" w14:textId="77777777" w:rsidTr="009C1E9A">
      <w:trPr>
        <w:cantSplit/>
      </w:trPr>
      <w:tc>
        <w:tcPr>
          <w:tcW w:w="0" w:type="pct"/>
        </w:tcPr>
        <w:p w14:paraId="388362D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3732BB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461F1D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887CF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8F0" w14:paraId="2ADD2A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6329CEA" w14:textId="4918325A" w:rsidR="00EC379B" w:rsidRDefault="0013645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05D7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0EBAAF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1BB16B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4C73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D4AE" w14:textId="77777777" w:rsidR="00000000" w:rsidRDefault="00136450">
      <w:r>
        <w:separator/>
      </w:r>
    </w:p>
  </w:footnote>
  <w:footnote w:type="continuationSeparator" w:id="0">
    <w:p w14:paraId="1810D09C" w14:textId="77777777" w:rsidR="00000000" w:rsidRDefault="0013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C39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603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A89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427"/>
    <w:multiLevelType w:val="hybridMultilevel"/>
    <w:tmpl w:val="8F682AF6"/>
    <w:lvl w:ilvl="0" w:tplc="8A78C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E5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803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61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2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07A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E3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B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CD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B7291"/>
    <w:multiLevelType w:val="hybridMultilevel"/>
    <w:tmpl w:val="071074B8"/>
    <w:lvl w:ilvl="0" w:tplc="3D462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42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05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2C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4C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88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EA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C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6F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8F0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5E0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229"/>
    <w:rsid w:val="00120797"/>
    <w:rsid w:val="0012371B"/>
    <w:rsid w:val="001245C8"/>
    <w:rsid w:val="00124653"/>
    <w:rsid w:val="001247C5"/>
    <w:rsid w:val="00127893"/>
    <w:rsid w:val="001312BB"/>
    <w:rsid w:val="00136450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0C45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86F"/>
    <w:rsid w:val="002B7BA7"/>
    <w:rsid w:val="002C1C17"/>
    <w:rsid w:val="002C3203"/>
    <w:rsid w:val="002C3B07"/>
    <w:rsid w:val="002C532B"/>
    <w:rsid w:val="002C5713"/>
    <w:rsid w:val="002D05CC"/>
    <w:rsid w:val="002D305A"/>
    <w:rsid w:val="002D722E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8A3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930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114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26A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8E8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FA6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F4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61B9"/>
    <w:rsid w:val="006272DD"/>
    <w:rsid w:val="0063048A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D67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AF0"/>
    <w:rsid w:val="006F4BB0"/>
    <w:rsid w:val="007031BD"/>
    <w:rsid w:val="00703E80"/>
    <w:rsid w:val="00705276"/>
    <w:rsid w:val="007059F0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65A4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8B7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458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6B9E"/>
    <w:rsid w:val="00930897"/>
    <w:rsid w:val="009320D2"/>
    <w:rsid w:val="00932C77"/>
    <w:rsid w:val="0093417F"/>
    <w:rsid w:val="00934AC2"/>
    <w:rsid w:val="009375BB"/>
    <w:rsid w:val="009408FE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3622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32CE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0099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0B73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248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D74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8C2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323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71D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9E453A-D3D7-49C4-9FBC-45640338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6B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B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2525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SJR00047 (Committee Report (Unamended))</vt:lpstr>
    </vt:vector>
  </TitlesOfParts>
  <Company>State of Texas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25873</dc:subject>
  <dc:creator>State of Texas</dc:creator>
  <dc:description>SJR 47 by Huffman-(H)Judiciary &amp; Civil Jurisprudence</dc:description>
  <cp:lastModifiedBy>Stacey Nicchio</cp:lastModifiedBy>
  <cp:revision>2</cp:revision>
  <cp:lastPrinted>2003-11-26T17:21:00Z</cp:lastPrinted>
  <dcterms:created xsi:type="dcterms:W3CDTF">2021-05-11T19:52:00Z</dcterms:created>
  <dcterms:modified xsi:type="dcterms:W3CDTF">2021-05-11T19:52:00Z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21.130.1847</vt:lpwstr>
  </property>
</Properties>
</file>