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Health &amp; Human Services;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and delivery of certain health care services in this state, including services under Medicaid and other public benefits programs, using telecommunications or information technology and to reimbursement for some of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w:t>
      </w:r>
      <w:r>
        <w:rPr>
          <w:u w:val="single"/>
        </w:rPr>
        <w:t xml:space="preserve">a rural health clinic as defined by 42 U.S.C. Section 1396d(l)(1) and</w:t>
      </w:r>
      <w:r>
        <w:t xml:space="preserve">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w:t>
      </w:r>
      <w:r>
        <w:t xml:space="preserve"> </w:t>
      </w:r>
      <w:r>
        <w:t xml:space="preserve">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PROVISION OF SERVICES THROUGH TELECOMMUNICATIONS AND INFORMATION TECHNOLOGY UNDER MEDICAID AND OTHER PUBLIC BENEFITS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"Behavioral health services" has the meaning assigned by Section 533.00255.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includes service coordination, service management, and care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and to the extent it is cost-effective and clinically effective, as determined by the commission, the commission shall ensure that Medicaid recipients, child health plan program enrollees, and other individuals receiving benefits under a public benefits program administered by the commission or a health and human services agency,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preventive health and wellness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including targeted case management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behavioral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occupational, physical, and speech therapy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nutritional counseling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assessment services, including nursing assessments under the following Section 1915(c) waiver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home and community-based services (HCS)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state and federal law and to the extent it is cost-effective and clinically effective, as determined by the commission, the executive commissioner by rule shall develop and implement a system that ensures behavioral health services may be provided using an audio-only platform consistent with Section 111.008, Occupations Code, to a Medicaid recipient, a child health plan program enrollee, or another individual receiving those services under another public benefits program administered by the commission or a health and human services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executive commissioner determines that providing services other than behavioral health services is appropriate using an audio-only platform under a public benefits program administered by the commission or a health and human services agency, in accordance with applicable federal and state law, the executive commissioner may by rule authorize the provision of those services under the applicable program using the audio-only platform. </w:t>
      </w:r>
      <w:r>
        <w:rPr>
          <w:u w:val="single"/>
        </w:rPr>
        <w:t xml:space="preserve"> </w:t>
      </w:r>
      <w:r>
        <w:rPr>
          <w:u w:val="single"/>
        </w:rPr>
        <w:t xml:space="preserve">In determining whether the use of an audio-only platform in a program is appropriate under this subsection, the executive commissioner shall consider whether using the platform would be cost-effective and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comply with state and federal requirements to provide access to medically necessary services under the Medicaid managed care program, a Medicaid managed care organization may reimburse providers for home telemonitoring services provided to persons who have conditions and exhibit risk factors other than those expressly authorized by this section. </w:t>
      </w:r>
      <w:r>
        <w:rPr>
          <w:u w:val="single"/>
        </w:rPr>
        <w:t xml:space="preserve"> </w:t>
      </w:r>
      <w:r>
        <w:rPr>
          <w:u w:val="single"/>
        </w:rPr>
        <w:t xml:space="preserve">In determining whether the managed care organization should provide reimbursement for services under this subsection, the organization shall consider whether reimbursement for the service is cost-effective and providing the service is clinically effective.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Section 531.0216(c) and consistent with Section 111.007, Occupations Code, consider and include the availability of telehealth services and telemedicine medical services within the provider network of a Medicaid managed care organization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533.008,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and publish guidelines for Medicaid managed care organizations regarding how organizations may communicate by text message or e-mail with recipients enrolled in the organization's managed care plan using the contact information provided in a recipient's application for Medicaid benefits under Section 32.025(g)(2), Human Resources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DELIVERY OF BENEFITS USING TELECOMMUNICATIONS AND INFORMATION TECHNOLOGY.  (a) </w:t>
      </w:r>
      <w:r>
        <w:rPr>
          <w:u w:val="single"/>
        </w:rPr>
        <w:t xml:space="preserve"> </w:t>
      </w:r>
      <w:r>
        <w:rPr>
          <w:u w:val="single"/>
        </w:rPr>
        <w:t xml:space="preserve">The commission shall establish policies and procedures to improve access to care under the Medicaid managed care program by encouraging the use of telehealth services, telemedicine medical services, home telemonitoring services, and other telecommunications or information technology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the executive commissioner by rule shall establish policies and procedures that allow a Medicaid managed care organization to conduct assessments and provide care coordination services using telecommunications or information technology.  In establishing the policies and procedures, the executive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extent to which a managed care organization determines using the telecommunications or information technology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recipient requests that the assessment or service be provided using telecommunications or information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recipient consents to receiving the assessment or service using telecommunications or information technology;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conducting the assessment, including an assessment for an initial waiver eligibility determination, or providing the service in person is not feasible because of the existence of an emergency or state of disaster, including a public health emergency or natural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commission determines using the telecommunications or information technology is appropriate under the circumstances.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Medicaid managed care organization conducts an assessment of or provides care coordination services to a recipient using telecommunications or information technology, the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health care services provided to the recipient for evidence of fraud, waste, and abuse;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additional social services or supports are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permitted by federal law, the commission shall allow a recipient who is assessed or provided with care coordination services by a Medicaid managed care organization using telecommunications or information technology to provide consent or other authorizations to receive services verbally instead of in writing.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determine categories of recipients of home and community-based services who must receive in-person visits. </w:t>
      </w:r>
      <w:r>
        <w:rPr>
          <w:u w:val="single"/>
        </w:rPr>
        <w:t xml:space="preserve"> </w:t>
      </w:r>
      <w:r>
        <w:rPr>
          <w:u w:val="single"/>
        </w:rPr>
        <w:t xml:space="preserve">Except during circumstances described by Subsection (b)(4), a Medicaid managed care organization shall, for a recipient of home and community-based services for which the commission requires in-person visits,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in-person visit with the recipient to make an initial waiver eligibility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in-person visits with the recipient if necessary, as determined by the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provisions of this section, the commission may, on a case-by-case basis, require a Medicaid managed care organization to discontinue the use of telecommunications or information technology for assessment or service coordination services if the commission determines that the discontinuation is in the best interest of the recipient.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TELEHEALTH SERVICES</w:t>
      </w:r>
      <w:r>
        <w:t xml:space="preserve">.  (a) In providing covered benefits to a child, a health plan provider must permit benefits to be provided through telemedicine medical services </w:t>
      </w:r>
      <w:r>
        <w:rPr>
          <w:u w:val="single"/>
        </w:rPr>
        <w:t xml:space="preserve">and telehealth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or telehealth services</w:t>
      </w:r>
      <w:r>
        <w:t xml:space="preserve"> that are comparable to the same types of covered benefits provided without the use of telemedicine medical services </w:t>
      </w:r>
      <w:r>
        <w:rPr>
          <w:u w:val="single"/>
        </w:rPr>
        <w:t xml:space="preserve">or telehealth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w:t>
      </w:r>
      <w:r>
        <w:rPr>
          <w:u w:val="single"/>
        </w:rPr>
        <w:t xml:space="preserve">or telehealth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telehealth services</w:t>
      </w:r>
      <w:r>
        <w:t xml:space="preserve">, including the costs of transportation and lodging and other direct costs.</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"telehealth service" and</w:t>
      </w:r>
      <w:r>
        <w:t xml:space="preserve"> "telemedicine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462, Health and Safety Code, is amended by adding Section 462.015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462.015.</w:t>
      </w:r>
      <w:r>
        <w:rPr>
          <w:u w:val="single"/>
        </w:rPr>
        <w:t xml:space="preserve"> </w:t>
      </w:r>
      <w:r>
        <w:rPr>
          <w:u w:val="single"/>
        </w:rPr>
        <w:t xml:space="preserve"> </w:t>
      </w:r>
      <w:r>
        <w:rPr>
          <w:u w:val="single"/>
        </w:rPr>
        <w:t xml:space="preserve">OUTPATIENT TREATMENT SERVICES PROVIDED USING TELECOMMUNICATIONS OR INFORMATION TECHNOLOGY.  (a)  An outpatient chemical dependency treatment program provided by a treatment facility licensed under Chapter 464 may provide services under the program to adult and adolescent clients, consistent with commission rule, using telecommunications or information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462.025, Health and Safety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rules governing the intake, screening, and assessment procedures shall establish minimum standards for providing intake, screening, and assessment using telecommunications or information technology.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32.025(g),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application form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and</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by a managed care organization or health care provider</w:t>
      </w:r>
      <w:r>
        <w:t xml:space="preserve">, as follows:</w:t>
      </w:r>
    </w:p>
    <w:p w:rsidR="003F3435" w:rsidRDefault="0032493E">
      <w:pPr>
        <w:spacing w:line="480" w:lineRule="auto"/>
        <w:ind w:firstLine="2160"/>
        <w:jc w:val="both"/>
      </w:pPr>
      <w:r>
        <w:t xml:space="preserve">"If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720"/>
        <w:jc w:val="both"/>
      </w:pPr>
      <w:r>
        <w:t xml:space="preserve">(1)</w:t>
      </w:r>
      <w:r xml:space="preserve">
        <w:t> </w:t>
      </w:r>
      <w:r xml:space="preserve">
        <w:t> </w:t>
      </w:r>
      <w:r>
        <w:t xml:space="preserve">By telephone (if contacted by cellular telephone, the call may be autodialed or prerecorded, and your carrier's usage rates may apply)? Yes No</w:t>
      </w:r>
    </w:p>
    <w:p w:rsidR="003F3435" w:rsidRDefault="0032493E">
      <w:pPr>
        <w:spacing w:line="480" w:lineRule="auto"/>
        <w:ind w:firstLine="720"/>
        <w:jc w:val="both"/>
      </w:pPr>
      <w:r>
        <w:t xml:space="preserve">Telephone number: 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(2)</w:t>
      </w:r>
      <w:r xml:space="preserve">
        <w:t> </w:t>
      </w:r>
      <w:r xml:space="preserve">
        <w:t> </w:t>
      </w:r>
      <w:r>
        <w:t xml:space="preserve">By text message (a free autodialed service, but your carrier may charge message and data rates)? Yes No</w:t>
      </w:r>
    </w:p>
    <w:p w:rsidR="003F3435" w:rsidRDefault="0032493E">
      <w:pPr>
        <w:spacing w:line="480" w:lineRule="auto"/>
        <w:ind w:firstLine="720"/>
        <w:jc w:val="both"/>
      </w:pPr>
      <w:r>
        <w:t xml:space="preserve">Cellular telephone number: ______________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(3)</w:t>
      </w:r>
      <w:r xml:space="preserve">
        <w:t> </w:t>
      </w:r>
      <w:r xml:space="preserve">
        <w:t> </w:t>
      </w:r>
      <w:r>
        <w:t xml:space="preserve">By e-mail? Yes No</w:t>
      </w:r>
    </w:p>
    <w:p w:rsidR="003F3435" w:rsidRDefault="0032493E">
      <w:pPr>
        <w:spacing w:line="480" w:lineRule="auto"/>
        <w:ind w:firstLine="720"/>
        <w:jc w:val="both"/>
      </w:pPr>
      <w:r>
        <w:t xml:space="preserve">E-mail address: __________________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2022,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implement Section 531.02161, Government Code, as added by this Act; and</w:t>
      </w:r>
    </w:p>
    <w:p w:rsidR="003F3435" w:rsidRDefault="0032493E">
      <w:pPr>
        <w:spacing w:line="480" w:lineRule="auto"/>
        <w:ind w:firstLine="1440"/>
        <w:jc w:val="both"/>
      </w:pPr>
      <w:r>
        <w:t xml:space="preserve">(2)</w:t>
      </w:r>
      <w:r xml:space="preserve">
        <w:t> </w:t>
      </w:r>
      <w:r xml:space="preserve">
        <w:t> </w:t>
      </w:r>
      <w:r>
        <w:t xml:space="preserve">publish the guidelines required by Section 533.008(c), Government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