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87R16604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 White, Dean, Guillen, Collier,</w:t>
      </w:r>
      <w:r xml:space="preserve">
        <w:tab wTab="150" tlc="none" cTlc="0"/>
      </w:r>
      <w:r>
        <w:t xml:space="preserve">H.B.</w:t>
      </w:r>
      <w:r xml:space="preserve">
        <w:t> </w:t>
      </w:r>
      <w:r>
        <w:t xml:space="preserve">No.</w:t>
      </w:r>
      <w:r xml:space="preserve">
        <w:t> </w:t>
      </w:r>
      <w:r>
        <w:t xml:space="preserve">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a hiring law enforcement agency to an applicant's employment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1701.451(a-1),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A law enforcement agency that obtains a consent form described by Subsection (a)(2)(B) shall make </w:t>
      </w:r>
      <w:r>
        <w:rPr>
          <w:u w:val="single"/>
        </w:rPr>
        <w:t xml:space="preserve">an electronic copy of</w:t>
      </w:r>
      <w:r>
        <w:t xml:space="preserve"> the person's employment records available to a hiring law enforcement agency on request.  </w:t>
      </w:r>
      <w:r>
        <w:rPr>
          <w:u w:val="single"/>
        </w:rPr>
        <w:t xml:space="preserve">The commission by rule shall prescribe the manner by which a law enforcement agency shall make a person's employment records electronically available to a hiring law enforcement agency.  The rules must provide appropriate privacy and security protections.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2021, the Texas Commission on Law Enforcement shall adopt rules as necessary to comply with Section 1701.451, Occupations Code, as amended by this Act.</w:t>
      </w:r>
    </w:p>
    <w:p w:rsidR="003F3435" w:rsidRDefault="0032493E">
      <w:pPr>
        <w:spacing w:line="480" w:lineRule="auto"/>
        <w:ind w:firstLine="720"/>
        <w:jc w:val="both"/>
      </w:pPr>
      <w:r>
        <w:t xml:space="preserve">(b)</w:t>
      </w:r>
      <w:r xml:space="preserve">
        <w:t> </w:t>
      </w:r>
      <w:r xml:space="preserve">
        <w:t> </w:t>
      </w:r>
      <w:r>
        <w:t xml:space="preserve">Section 1701.451, Occupations Code, as amended by this Act, applies only to the hiring of a person by a law enforcement agency that occurs on or after December 1, 2021.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