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Allison, Shaheen, Harless, Price,</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required by Section 546.003,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