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Hernandez, et al.</w:t>
      </w:r>
      <w:r xml:space="preserve">
        <w:tab wTab="150" tlc="none" cTlc="0"/>
      </w:r>
      <w:r>
        <w:t xml:space="preserve">H.B.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designate a commissioner as the presiding officer.  </w:t>
      </w:r>
      <w:r>
        <w:rPr>
          <w:u w:val="single"/>
        </w:rPr>
        <w:t xml:space="preserve">The commissioner designated as the presiding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amending Subsections (g) and (g-1) and adding Subsections (g-2), (g-3), (g-4), and (g-5)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w:t>
      </w:r>
      <w:r>
        <w:rPr>
          <w:strike/>
        </w:rPr>
        <w:t xml:space="preserve">and, for unaffiliated members, prescribe professional qualifications for selection as a member.  The bylaws must require the use of a professional search firm to identify candidates for membership of unaffiliated members</w:t>
      </w:r>
      <w:r>
        <w:t xml:space="preserve">].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t xml:space="preserve">(4)</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t xml:space="preserve">(5)</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(6)</w:t>
      </w:r>
      <w:r xml:space="preserve">
        <w:t> </w:t>
      </w:r>
      <w:r xml:space="preserve">
        <w:t> </w:t>
      </w:r>
      <w:r>
        <w:t xml:space="preserve">one member representing large commercial consumer interests selected in accordance with the bylaws to serve a one-year term;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three members appointed by the governor, at least one of whom must represent residential consumer interests;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appointed by the speaker of the house of representatives</w:t>
      </w:r>
      <w:r>
        <w:t xml:space="preserve">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t xml:space="preserve">(g-1)</w:t>
      </w:r>
      <w:r xml:space="preserve">
        <w:t> </w:t>
      </w:r>
      <w:r xml:space="preserve">
        <w:t> </w:t>
      </w:r>
      <w:r>
        <w:t xml:space="preserve">The </w:t>
      </w:r>
      <w:r>
        <w:rPr>
          <w:u w:val="single"/>
        </w:rPr>
        <w:t xml:space="preserve">governor shall designate the</w:t>
      </w:r>
      <w:r>
        <w:t xml:space="preserve"> presiding officer of the </w:t>
      </w:r>
      <w:r>
        <w:rPr>
          <w:u w:val="single"/>
        </w:rPr>
        <w:t xml:space="preserve">independent organization's</w:t>
      </w:r>
      <w:r>
        <w:t xml:space="preserve"> governing body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 of the governing body of an independent organization certified under this section appointed under Subsections (g)(7), (8), and (9) serve staggered terms of two years, with three members' terms expiring February 1 of each odd-numbered year and two members' terms expiring February 1 of each even-numbered year.  Not later than the 30th day after the date a member of the governing body's term expires, the appropriate appointing authority shall appoint a replacement in the same manner as the original appointment.  If a vacancy occurs on the governing body,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qualify as a member of the governing body under Subsection (g)(4), (5), (6), (7), (8), or (9), a person must be a resident of this state.</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A member of the governing body is not entitled to compensation, but is entitled to reimbursement for travel and other necessary expenses related to the activities of the independent organization as provided by the General Appropriations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governor, lieutenant governor, and speaker of the house of representatives shall comply with Section 39.151, Utilities Code, as amended by this Act, by appointing members to the governing body of an independent organization certified under Section 39.151, Utilities Code, by the Public Utility Commission of Texas before September 1, 2021.  To establish staggered terms, the governor shall designate three initial appointees to serve terms expiring February 1 of the next odd-numbered year and two initial appointees to serve terms expiring February 1 of the next even-numbered year.</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