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governing body of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amending Subsections (g) and (g-1) and adding Subsections (g-2), (g-3), (g-4), and (g-5) to read as follows:</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and selected in accordance with formal bylaws or protocols of the organization. The bylaws or protocols must be approved by the commission and must reflect the input of the commission. The bylaws must specify the process by which appropriate stakeholders elect members [</w:t>
      </w:r>
      <w:r>
        <w:rPr>
          <w:strike/>
        </w:rPr>
        <w:t xml:space="preserve">and, for unaffiliated members, prescribe professional qualifications for selection as a member. The bylaws must require the use of a professional search firm to identify candidates for membership of unaffiliated members</w:t>
      </w:r>
      <w:r>
        <w:t xml:space="preserve">]. The process must allow for commission input in identifying candidates.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one-year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one-year term; [and}</w:t>
      </w:r>
    </w:p>
    <w:p w:rsidR="003F3435" w:rsidRDefault="0032493E">
      <w:pPr>
        <w:spacing w:line="480" w:lineRule="auto"/>
        <w:ind w:firstLine="1440"/>
        <w:jc w:val="both"/>
      </w:pPr>
      <w:r>
        <w:t xml:space="preserve">(7)</w:t>
      </w:r>
      <w:r xml:space="preserve">
        <w:t> </w:t>
      </w:r>
      <w:r xml:space="preserve">
        <w:t> </w:t>
      </w:r>
      <w:r>
        <w:rPr>
          <w:u w:val="single"/>
        </w:rPr>
        <w:t xml:space="preserve">one member representing residential consumer interests appointed by the governor;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two additional members appointed by the governor;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appointed by the lieutenant governor;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member appointed by the speaker of the house of representatives</w:t>
      </w:r>
      <w:r>
        <w:t xml:space="preserve"> [</w:t>
      </w:r>
      <w:r>
        <w:rPr>
          <w:strike/>
        </w:rPr>
        <w:t xml:space="preserve">five members unaffiliated with any market segment and selected by the other members of the governing body to serve three-</w:t>
      </w:r>
      <w:r>
        <w:rPr>
          <w:strike/>
        </w:rPr>
        <w:t xml:space="preserve">year terms</w:t>
      </w:r>
      <w:r>
        <w:t xml:space="preserve">].</w:t>
      </w:r>
    </w:p>
    <w:p w:rsidR="003F3435" w:rsidRDefault="0032493E">
      <w:pPr>
        <w:spacing w:line="480" w:lineRule="auto"/>
        <w:ind w:firstLine="720"/>
        <w:jc w:val="both"/>
      </w:pPr>
      <w:r>
        <w:t xml:space="preserve">(g-1)</w:t>
      </w:r>
      <w:r xml:space="preserve">
        <w:t> </w:t>
      </w:r>
      <w:r xml:space="preserve">
        <w:t> </w:t>
      </w:r>
      <w:r>
        <w:t xml:space="preserve">The </w:t>
      </w:r>
      <w:r>
        <w:rPr>
          <w:u w:val="single"/>
        </w:rPr>
        <w:t xml:space="preserve">governor shall designate the</w:t>
      </w:r>
      <w:r>
        <w:t xml:space="preserve"> presiding officer of the governing body [</w:t>
      </w:r>
      <w:r>
        <w:rPr>
          <w:strike/>
        </w:rPr>
        <w:t xml:space="preserve">must be one of the members described by Subsection (g)(7)</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Members of the governing body of an independent organization certified under this section that are elected or appointed under Subdivisions 39.151(g)(7)-(10) serve staggered terms of two years, with three members' terms expiring February 1 of each odd-numbered year and two members' terms expiring February 1 of each even-numbered year. Not later than the 30th day after the date a member of the governing body's term expires, the appropriate electing or appointing authority shall elect or appoint a replacement in the same manner as the original election appointment. If a vacancy occurs on the governing body, the appropriate electing or appointing authority shall elect or appoint a successor in the same manner as the original election or appointment to serve for the remainder of the unexpired term. The appropriate electing or appointing authority shall elect or appoint the successor not later than the 30th day after the date the vacancy occurs.</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To qualify for election or appointment as a member of the governing body under Subsection (g), a person must be a resident of this state.</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To maintain certification as an independent organization under this section, an organization's chief executive officer must be a resident of this state.</w:t>
      </w:r>
    </w:p>
    <w:p w:rsidR="003F3435" w:rsidRDefault="0032493E">
      <w:pPr>
        <w:spacing w:line="480" w:lineRule="auto"/>
        <w:ind w:firstLine="720"/>
        <w:jc w:val="both"/>
      </w:pPr>
      <w:r>
        <w:rPr>
          <w:u w:val="single"/>
        </w:rPr>
        <w:t xml:space="preserve">(g-5)</w:t>
      </w:r>
      <w:r>
        <w:rPr>
          <w:u w:val="single"/>
        </w:rPr>
        <w:t xml:space="preserve"> </w:t>
      </w:r>
      <w:r>
        <w:rPr>
          <w:u w:val="single"/>
        </w:rPr>
        <w:t xml:space="preserve"> </w:t>
      </w:r>
      <w:r>
        <w:rPr>
          <w:u w:val="single"/>
        </w:rPr>
        <w:t xml:space="preserve">A member of the board is not entitled to compensation. Board members are entitled to reimbursement for travel and other necessary expenses related to the activities of the council as provided by the General Appropriations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governor, the lieutenant governor, and the speaker of the house of representatives shall comply with Section 39.151, Utilities Code, as amended by this Act, by appointing members to the governing body of an independent organization certified under Section 39.151, Utilities Code, by the Public Utility Commission of Texas before September 1, 2021. To establish staggered terms, the governor shall designate three members to serve terms expiring February 1 of the next odd-numbered year and two initial members to serve terms expiring February 1 of the next even-numbered year.</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39.151, Utilities Code, by the Public Utility Commission of Texas before September 1, 2021, shall ensure that the chief executive officer of the organization is a resident of this state as soon as 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or chief executive officer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