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Hernandez, Allison, et al.</w:t>
      </w:r>
      <w:r xml:space="preserve">
        <w:tab wTab="150" tlc="none" cTlc="0"/>
      </w:r>
      <w:r>
        <w:t xml:space="preserve">H.B.</w:t>
      </w:r>
      <w:r xml:space="preserve">
        <w:t> </w:t>
      </w:r>
      <w:r>
        <w:t xml:space="preserve">No.</w:t>
      </w:r>
      <w:r xml:space="preserve">
        <w:t> </w:t>
      </w:r>
      <w:r>
        <w:t xml:space="preserve">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preparedness for extreme weather emergencies of facilities that provide electricity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w:t>
      </w:r>
      <w:r>
        <w:rPr>
          <w:u w:val="single"/>
        </w:rPr>
        <w:t xml:space="preserve"> </w:t>
      </w:r>
      <w:r>
        <w:rPr>
          <w:u w:val="single"/>
        </w:rPr>
        <w:t xml:space="preserve">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10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generation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generation facilities to provide adequate electric generation service during an extreme weather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prevent electric generation service interruptions during an extreme weather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reestablish service in the shortest possible time period after an electric generation service interruption that occurs due to an extreme weather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manage emergencies caused by electric generation service interruptions during extreme weather emergencies, including issuing instructions to employees on procedures to be followed in the event of an extreme weather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address electric generation service for all neighborhoods, rural areas, communities of fewer than 1,000 people, and low-income areas in the ERCOT power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(a) </w:t>
      </w:r>
      <w:r>
        <w:rPr>
          <w:u w:val="single"/>
        </w:rPr>
        <w:t xml:space="preserve"> </w:t>
      </w:r>
      <w:r>
        <w:rPr>
          <w:u w:val="single"/>
        </w:rPr>
        <w:t xml:space="preserve">In this section, "extreme weather emergency" has the meaning assigned by Section 35.0021.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cooperative, municipally owned utility, and transmission and distribution utility providing transmission or distribution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facilities to maintain service quality and reliability during an extreme weather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prevent service interruptions during an extreme weather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reestablish service in the shortest possible time period after a service interruption that occurs due to an extreme weather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manage emergencies caused by service interruptions during extreme weather emergencies, including issuing instructions to employees on procedures to be followed in the event of an extreme weather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address service for all neighborhoods, rural areas, communities of fewer than 1,000 people, and low-income areas in the ERCOT power region.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the rules required by Sections 35.0021 and 38.074, Utilities Code, as added by this Act, not later than November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