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Paddie, et al.</w:t>
      </w:r>
      <w:r xml:space="preserve">
        <w:tab wTab="150" tlc="none" cTlc="0"/>
      </w:r>
      <w:r>
        <w:t xml:space="preserve">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Energy Disaster Reliability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186, Utilities Code, is amended by adding Subchapter F to read as follows:</w:t>
      </w:r>
    </w:p>
    <w:p w:rsidR="003F3435" w:rsidRDefault="0032493E">
      <w:pPr>
        <w:spacing w:line="480" w:lineRule="auto"/>
        <w:jc w:val="center"/>
      </w:pPr>
      <w:r>
        <w:rPr>
          <w:u w:val="single"/>
        </w:rPr>
        <w:t xml:space="preserve">SUBCHAPTER F. TEXAS ENERGY DISASTER RELIABILITY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186.101.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Energy Disaster Reliability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defined by Section 418.004,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extended power outage.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"Extended power outage" means an interruption in electric service lasting more than 24 hours.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"Gas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natural gas pipeline facility operator;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operator of a natural gas well;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that produces, processes, or transports natural gas in this state or otherwise participates in the natural gas supply chain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utility" means an entity that generates, transmits, or distributes electric energy to the public, including an electric cooperative, an electric utility, a municipally owned utility, or a river authority.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"Railroad commission" means the Railroad Commission of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"Utility commission" means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186.102.</w:t>
      </w:r>
      <w:r>
        <w:rPr>
          <w:u w:val="single"/>
        </w:rPr>
        <w:t xml:space="preserve"> </w:t>
      </w:r>
      <w:r>
        <w:rPr>
          <w:u w:val="single"/>
        </w:rPr>
        <w:t xml:space="preserve"> </w:t>
      </w:r>
      <w:r>
        <w:rPr>
          <w:u w:val="single"/>
        </w:rPr>
        <w:t xml:space="preserve">COUNCIL.  The Texas Energy Disaster Reliability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extended natural gas supply failures or power outages caused by disasters;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procedures to manage emergencies caused by disasters;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of critical infrastructure facilities to maintain service in a disaster;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coordinate the delivery of fuel to serve human needs natural gas customers and providers of electric generation service in a disaster;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monitor supply chains for the electric grid in this state to minimize service disruptions;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study and make recommendations on methods to maintain the reliability of the electric grid in this state during a disaster, including methods for maintaining the reliability of natural gas supply networks.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186.103.</w:t>
      </w:r>
      <w:r>
        <w:rPr>
          <w:u w:val="single"/>
        </w:rPr>
        <w:t xml:space="preserve"> </w:t>
      </w:r>
      <w:r>
        <w:rPr>
          <w:u w:val="single"/>
        </w:rPr>
        <w:t xml:space="preserve"> </w:t>
      </w:r>
      <w:r>
        <w:rPr>
          <w:u w:val="single"/>
        </w:rPr>
        <w:t xml:space="preserve">MEMBERS.  (a) </w:t>
      </w:r>
      <w:r>
        <w:rPr>
          <w:u w:val="single"/>
        </w:rPr>
        <w:t xml:space="preserve"> </w:t>
      </w:r>
      <w:r>
        <w:rPr>
          <w:u w:val="single"/>
        </w:rPr>
        <w:t xml:space="preserve">The council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utility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utility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chairman of the railroad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railroad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executive officer of the independent organization certified under Section 39.151 for the ERCOT power region;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chief of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the division shall serve as the presiding officer of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hold meetings during the weeks of March 1 and September 1 of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meetings required by Subsection (c), the council shall convene as soon as reasonably possible during or in anticipation of a disaster to address an actual or potential extended power outage caused by a disaster in order to coordinate fuel supplies and minimize the duration of the outage.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carrying out its functions, the council may consult and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Department of 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Department of Homeland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North American Electric Reliability Corporation;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Reliability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federal and state agencies;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governmental officials, including mayors, county judges, and emergency management officials;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members of the electric industry;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members of the natural gas industry;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grid security experts.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utility or gas provider shall provide to the council any information related to a disaster requested by the council.  Information obtained by the council under this subsection is confidential and not subject to disclosure by the council if the information is critical energy infrastructure information as defined by the independent organization certified under Section 39.151 for the ERCOT power region or federal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(g-1), the meetings of the council and information obtained or created by the council are not subject to the requirements of Chapter 551 or 552, Government Code.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Information written, produced, collected, assembled, or maintained under law or in connection with the transaction of official business by the council or an officer or employee of the council is subject to Section 552.008, Government Code, in the same manner as public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Chapter 2110, Government Code, does not apply to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186.104.</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November 1 of each even-numbered year, the council shall submit to the legislature a report on the reliability and stability of the electric supply chain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recommendations on methods to strengthen the electric supply chain in this state and to decrease the frequency of extended power outages caused by a disaster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