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87R13740 CXP-F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Hernandez, Paddie, Hunter, Morales Shaw,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wholesale indexed products by retail electric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Utilities Code, is amended by adding Section 39.110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39.110.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WHOLESALE INDEXED PRODUCTS PROHIBITED.  (a)  In this section, "wholesale indexed product" means a retail electric product in which the price a customer pays for electricity includes a direct pass-through of real-time settlement point prices determined by the independent organization certified under Section 39.151 for the ERCOT power region.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retail electric provider may not offer a wholesale indexed product to a residential customer.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the Public Utility Commission of Texas shall adopt any rules necessary to enforce Section 39.110, Utilities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