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the sale of wholesale indexed products by retail electric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 Utilities Code, is amended by adding Section 39.113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39.113.</w:t>
      </w:r>
      <w:r>
        <w:rPr>
          <w:u w:val="single"/>
        </w:rPr>
        <w:t xml:space="preserve"> </w:t>
      </w:r>
      <w:r>
        <w:rPr>
          <w:u w:val="single"/>
        </w:rPr>
        <w:t xml:space="preserve"> </w:t>
      </w:r>
      <w:r>
        <w:rPr>
          <w:u w:val="single"/>
        </w:rPr>
        <w:t xml:space="preserve">WHOLESALE INDEXED PRODUCTS PROHIBITED.  (a) </w:t>
      </w:r>
      <w:r>
        <w:rPr>
          <w:u w:val="single"/>
        </w:rPr>
        <w:t xml:space="preserve"> </w:t>
      </w:r>
      <w:r>
        <w:rPr>
          <w:u w:val="single"/>
        </w:rPr>
        <w:t xml:space="preserve">In this section, "wholesale indexed product" means a retail electric product for which the price a customer pays for electricity includes a direct pass-through of real-time settlement point prices as determined by the independent organization established by Section 39.151.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retail electric provider may not offer a wholesale indexed product to a residential customer.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and enforce rules relating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Public Utility Commission shall adopt rules required by Section 39.113, Utilities Code, as added by this Act, on or before December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