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restriction on the regulation of utility services and infrastructure based on the energy source to be used or delivered.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181, Utilities Code, is amended by adding Section 181.903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181.903.</w:t>
      </w:r>
      <w:r>
        <w:rPr>
          <w:u w:val="single"/>
        </w:rPr>
        <w:t xml:space="preserve"> </w:t>
      </w:r>
      <w:r>
        <w:rPr>
          <w:u w:val="single"/>
        </w:rPr>
        <w:t xml:space="preserve"> </w:t>
      </w:r>
      <w:r>
        <w:rPr>
          <w:u w:val="single"/>
        </w:rPr>
        <w:t xml:space="preserve">RESTRICTION ON REGULATION OF UTILITY SERVICES AND INFRASTRUCTURE.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"Regulatory authority" has the meanings assigned by Sections 11.003 and 101.003.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"Utility" has the meaning assigned by Section 181.901, except that the term does not include a person, company, or corporation engaged in furnishing telephone service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regulatory authority, planning authority, or political subdivision of this state may adopt or enforce an ordinance, resolution, regulation, code, order, policy, or other measure that has the purpose, intent, or effect of directly or indirectly banning, limiting, restricting, discriminating against, or prohibiting the connection or reconnection of a utility service or the construction, maintenance, or installation of residential, commercial, or other public or private infrastructure for a utility service based on the type or source of energy to be delivered to the end-use customer.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including a regulatory authority, planning authority, political subdivision, or utility, may not impose any additional charge or pricing difference on a development or building permit applicant for utility infrastructure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encourages those constructing homes, buildings, or other structural improvements to connect to a utility service based on the type or source of energy to be delivered to the end-use customer;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discourages the installation of facilities for the delivery of or use of a utility service based on the type or source of energy to be delivered to the end-use customer.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limit the ability of a regulatory authority or political subdivision to choose utility services for properties owned by the regulatory authority or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 was passed by the House on March 31, 2021, by the following vote:</w:t>
      </w:r>
      <w:r xml:space="preserve">
        <w:t> </w:t>
      </w:r>
      <w:r xml:space="preserve">
        <w:t> </w:t>
      </w:r>
      <w:r>
        <w:t xml:space="preserve">Yeas 116, Nays 29,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 was passed by the Senate on May 4, 2021, by the following vote:</w:t>
      </w:r>
      <w:r xml:space="preserve">
        <w:t> </w:t>
      </w:r>
      <w:r xml:space="preserve">
        <w:t> </w:t>
      </w:r>
      <w:r>
        <w:t xml:space="preserve">Yeas 28,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