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12,</w:t>
      </w:r>
      <w:r xml:space="preserve">
        <w:t> </w:t>
      </w:r>
      <w:r>
        <w:t xml:space="preserve">2021, read first time and referred to Committee on Natural Resources &amp; Economic Development; May</w:t>
      </w:r>
      <w:r xml:space="preserve">
        <w:t> </w:t>
      </w:r>
      <w:r>
        <w:t xml:space="preserve">21,</w:t>
      </w:r>
      <w:r xml:space="preserve">
        <w:t> </w:t>
      </w:r>
      <w:r>
        <w:t xml:space="preserve">2021, reported favorably by the following vote:</w:t>
      </w:r>
      <w:r>
        <w:t xml:space="preserve"> </w:t>
      </w:r>
      <w:r>
        <w:t xml:space="preserve"> </w:t>
      </w:r>
      <w:r>
        <w:t xml:space="preserve">Yeas 8,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statute of limitations applicable to a sexual harassment complaint filed with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21.201(g), Labor Code, is amended to read as follows:</w:t>
      </w:r>
    </w:p>
    <w:p w:rsidR="003F3435" w:rsidRDefault="0032493E">
      <w:pPr>
        <w:spacing w:line="480" w:lineRule="auto"/>
        <w:ind w:firstLine="720"/>
        <w:jc w:val="both"/>
      </w:pPr>
      <w:r>
        <w:t xml:space="preserve">(g)</w:t>
      </w:r>
      <w:r xml:space="preserve">
        <w:t> </w:t>
      </w:r>
      <w:r xml:space="preserve">
        <w:t> </w:t>
      </w:r>
      <w:r>
        <w:t xml:space="preserve">If a perfected complaint is not received by the commission within 180 days of the alleged unlawful employment practice </w:t>
      </w:r>
      <w:r>
        <w:rPr>
          <w:u w:val="single"/>
        </w:rPr>
        <w:t xml:space="preserve">or, for a complaint alleging sexual harassment, within 300 days of the alleged sexual harassment</w:t>
      </w:r>
      <w:r>
        <w:t xml:space="preserve">, the commission shall notify the respondent that a complaint has been filed and that the process of perfecting the complaint is in progress.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21.202,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complaint under this subchapter must be filed not later than the 180th day after the date the alleged unlawful employment practice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complaint under this subchapter alleging sexual harassment must be filed not later than the 300th day after the date the alleged sexual harassment occurred.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sexual harassment complaint based on conduct occurring on or after the effective date of this Act.  A sexual harassment complaint that is based on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