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87R1290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governor's power to control the sale, transportation, and use of weapons and ammunition during a declared state of disaster or state of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418.019,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418.019.</w:t>
      </w:r>
      <w:r xml:space="preserve">
        <w:t> </w:t>
      </w:r>
      <w:r xml:space="preserve">
        <w:t> </w:t>
      </w:r>
      <w:r>
        <w:t xml:space="preserve">RESTRICTED SALE AND TRANSPORTATION OF MATERIALS.  The governor may suspend or limit the sale, dispensing, or transportation of alcoholic beverages, [</w:t>
      </w:r>
      <w:r>
        <w:rPr>
          <w:strike/>
        </w:rPr>
        <w:t xml:space="preserve">firearms,</w:t>
      </w:r>
      <w:r>
        <w:t xml:space="preserve">] explosives, and combustibles.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433.002(b),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directive may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control of public and private transportation in the affected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designation of specific zones in the affected area in which, if necessary, the use and occupancy of buildings and vehicles may be controlled;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 of the movement of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control of places of amusement or assembly;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establishment of curfews;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control of the sale, transportation, and use of alcoholic beverages[</w:t>
      </w:r>
      <w:r>
        <w:rPr>
          <w:strike/>
        </w:rPr>
        <w:t xml:space="preserve">, weapons, and ammunition, except as provided by Section 433.0045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control of the storage, use, and transportation of explosives or flammable materials considered dangerous to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