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educational requirements for certain incarcerated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19, Government Code is amended by adding Section 19.013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19.013</w:t>
      </w:r>
      <w:r>
        <w:rPr>
          <w:u w:val="single"/>
        </w:rPr>
        <w:t xml:space="preserve"> </w:t>
      </w:r>
      <w:r>
        <w:rPr>
          <w:u w:val="single"/>
        </w:rPr>
        <w:t xml:space="preserve"> </w:t>
      </w:r>
      <w:r>
        <w:rPr>
          <w:u w:val="single"/>
        </w:rPr>
        <w:t xml:space="preserve">EDUCATIONALREQUIREMENTS FOR </w:t>
      </w:r>
      <w:r>
        <w:rPr>
          <w:u w:val="single"/>
        </w:rPr>
        <w:t xml:space="preserve">CERTAIN INCARCERATED STUDENTS.  (a)  The Windham School District shall provide a course of instruction that includes the required curriculum leading to a standard high school diploma for consideration to each incarcerated student who is younger than 18 years of age or younger than 22 years of age if receiving special education services.  Referrals to the standard high school diploma program or the high school equivalency program will take into consideration time remaining on sentence, current educational functioning level and recommendations by the Admissions, Review and Dismissal Committee.  The Texas Education Agency shall collaborate with the department in providing necessary materials for instruction.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enter into an agreement with the Windham School District for purposes of complying with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