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w:t>
      </w:r>
      <w:r xml:space="preserve">
        <w:tab wTab="150" tlc="none" cTlc="0"/>
      </w:r>
      <w:r>
        <w:t xml:space="preserve">H.B.</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class size limits for prekindergarten classes provided by or on behalf of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25.112(a),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more than 22 students in a </w:t>
      </w:r>
      <w:r>
        <w:rPr>
          <w:u w:val="single"/>
        </w:rPr>
        <w:t xml:space="preserve">prekindergarten,</w:t>
      </w:r>
      <w:r>
        <w:t xml:space="preserve"> kindergarten, first, second, third, or fourth grade class. 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daily attendance is adjusted under Section 48.005(c);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29.1532(b),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school district contracts with a private entity for the operation of the district's prekindergarten program, the program must at a minimum comply with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applicable child-care licensing standards adopted by the </w:t>
      </w:r>
      <w:r>
        <w:rPr>
          <w:u w:val="single"/>
        </w:rPr>
        <w:t xml:space="preserve">Health and Human Services Commission</w:t>
      </w:r>
      <w:r>
        <w:t xml:space="preserve"> [</w:t>
      </w:r>
      <w:r>
        <w:rPr>
          <w:strike/>
        </w:rPr>
        <w:t xml:space="preserve">Department of Protective and Regulatory Services</w:t>
      </w:r>
      <w:r>
        <w:t xml:space="preserve">] under Section 42.042, Human Resources Code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class size requirement for prekindergarten classes imposed under Section 25.112(a)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29.171(c),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prekindergarten program provided by a private provider under this section is subject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requirements of 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class size requirement for prekindergarten classes imposed under Section 25.112(a)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r>
        <w:rPr>
          <w:u w:val="single"/>
        </w:rPr>
        <w:t xml:space="preserve">, including prekindergarten class size limits under Section 25.112 and notice requirements under Section 25.113 if granted an exception from those limits</w:t>
      </w:r>
      <w:r>
        <w:t xml:space="preserve">;</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 and</w:t>
      </w:r>
    </w:p>
    <w:p w:rsidR="003F3435" w:rsidRDefault="0032493E">
      <w:pPr>
        <w:spacing w:line="480" w:lineRule="auto"/>
        <w:ind w:firstLine="2160"/>
        <w:jc w:val="both"/>
      </w:pPr>
      <w:r>
        <w:t xml:space="preserve">(J)</w:t>
      </w:r>
      <w:r xml:space="preserve">
        <w:t> </w:t>
      </w:r>
      <w:r xml:space="preserve">
        <w:t> </w:t>
      </w:r>
      <w:r>
        <w:t xml:space="preserve">the duty to discharge or refuse to hire certain employees or applicants for employment under Section 12.1059.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r>
        <w:rPr>
          <w:u w:val="single"/>
        </w:rPr>
        <w:t xml:space="preserve">, including prekindergarten class size limits under Section 25.112 and notice requirements under Section 25.113 if granted an exception from those limits</w:t>
      </w:r>
      <w:r>
        <w:t xml:space="preserve">;</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