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87R1661 SCL-D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Swanson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prohibited actions regarding health benefit plan coverage for enrollees who refuse to have an abortion; providing a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1454, Insurance Code, is amended by adding Section 1454.003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1454.003.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LOSS OF COVERAGE FOR ABORTION REFUSAL PROHIBITED.  (a)  A health benefit plan issuer may not condition continued health benefit coverage for an enrollee on the enrollee having or require the enrollee to have an abortion regardless of whether a physician or health care practitioner has diagnosed the enrollee's unborn child as unviable or having a fetal abnormality.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shall monitor enforcement of this section and establish a complaint system for a person to report a violation of this section. The attorney general shall notify the department of a valid complaint.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addition to a sanction under Chapter 82, an administrative penalty under Chapter 84, or any other enforcement authorized under Subtitle B, Title 2, a health benefit plan issuer that violates this section is subject to a civil penalty in an amount of not more than $1,000 for each violation and for each day of a continuing violation. The attorney general may recover reasonable attorney's fees and costs incurred in bringing a suit to recover the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Chapter 1696, Insurance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CHAPTER 1696. COVERAGE FOR </w:t>
      </w:r>
      <w:r>
        <w:rPr>
          <w:u w:val="single"/>
        </w:rPr>
        <w:t xml:space="preserve">AND REQUIREMENT TO HAVE</w:t>
      </w:r>
      <w:r>
        <w:t xml:space="preserve"> ELECTIVE ABORTION; PROHIBITIONS AND REQUIREMENTS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1696.002,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1696.002.</w:t>
      </w:r>
      <w:r xml:space="preserve">
        <w:t> </w:t>
      </w:r>
      <w:r xml:space="preserve">
        <w:t> </w:t>
      </w:r>
      <w:r>
        <w:t xml:space="preserve">PROHIBITED COVERAGE </w:t>
      </w:r>
      <w:r>
        <w:rPr>
          <w:u w:val="single"/>
        </w:rPr>
        <w:t xml:space="preserve">AND REQUIREMENTS</w:t>
      </w:r>
      <w:r>
        <w:t xml:space="preserve"> THROUGH HEALTH BENEFIT EXCHANGE.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Chapter 1696, Insurance Code, is amended by adding Section 1696.003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1696.003.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LOSS OF COVERAGE FOR ABORTION REFUSAL PROHIBITED.  (a)  An issuer of a qualified plan offered through a health benefit exchange may not condition continued health benefit coverage for an enrollee on the enrollee having or require the enrollee to have an abortion regardless of whether a physician or health care practitioner has diagnosed the enrollee's unborn child as unviable or having a fetal abnormality.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shall monitor enforcement of this section and establish a complaint system for a person to report a violation of this section. The attorney general shall notify the department of a valid complaint.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addition to a sanction under Chapter 82, an administrative penalty under Chapter 84, or any other enforcement authorized under Subtitle B, Title 2, an issuer of a qualified plan offered through a health benefit exchange that violates this section is subject to a civil penalty in an amount of not more than $1,000 for each violation and for each day of a continuing violation. The attorney general may recover reasonable attorney's fees and costs incurred in bringing a suit to recover the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health benefit or qualified plan delivered, issued for delivery, or renewed on or after January 1, 2022.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