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read first time and referred to Committee on Administration;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5, Nays 0;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April as Parkinson's Disease Awareness Month.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662, Government Code, is amended by adding Section 662.114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PARKINSON'S DISEASE AWARENESS MONTH.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April is Parkinson's Disease Awareness Month to increase awareness of Parkinson's disease and to encourage people to learn about the signs, symptoms, and treatment options for Parkinson's disease.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Parkinson's Disease Awareness Month may be regularly observed through appropriate programs and activities to increase awareness of Parkinson's disease.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