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87R1710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legislative review and approval of certain state agency rules.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2001, Government Code, is amended by adding Section 2001.0321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2001.0321.</w:t>
      </w:r>
      <w:r>
        <w:rPr>
          <w:u w:val="single"/>
        </w:rPr>
        <w:t xml:space="preserve"> </w:t>
      </w:r>
      <w:r>
        <w:rPr>
          <w:u w:val="single"/>
        </w:rPr>
        <w:t xml:space="preserve"> </w:t>
      </w:r>
      <w:r>
        <w:rPr>
          <w:u w:val="single"/>
        </w:rPr>
        <w:t xml:space="preserve">LEGISLATIVE APPROVAL OF CERTAIN PROPOSED RULES REQUIRED.  (a)  This section applies only to a rule proposed by a state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and administration of which is anticipated to have an economic impact of $20 million or more, as determined by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not an emergency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file, on the same day it files notice with the secretary of state as required by Section 2001.023, a copy of each proposed rule with the officer or employee with whom bills are filed in each house of the legislature.  After filing, the proposed rule shall be referred to a standing committee in the same manner as bills are referred, unless a house by rule provides for another manner of referral of agency rules.  Each proposed rule must be referred to a standing committee before the 10th day after the date the rule is filed with the appropriate officer or employee of each house.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 proposed rule is referred to a committee, the committee shall consider the rule at a committee meeting and vote on the rule.  A proposed rule is approved by the unanimous vote of the committee's full membership.  If the committee does not approve a proposed rule by unanimous vote of the committee's full membership, the rule is suspended.  If a proposed rule is suspended in committee, the committee shall, not later than the third day after the date the rule is suspended: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state agency that proposed the rule of the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notice of the suspension with the secretary of state for publication in the Texas Register.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rule is suspended in committee when the legislature is in session, the chair of the committee shall give written notice of the suspension to the presiding officer of the appropriate house not later than the fifth day after the date the rule is suspended.  Not later than the 35th day after the date the proposed rule is suspended in committee, the members of that house shall vote on the rule.  If a majority of members of that house vote to approve the proposed rule, the rule is approved and the committee's suspension terminates.  If a majority of members of that house do not vote to approve the proposed rule, the committee's suspension remains in effect.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proposed rule is suspended in committee when the legislature is not in session, the secretary of state shall give written notice of the suspension to the presiding officer of the appropriate house during the first 10 days of the next regular legislative session.  Not later than the 30th day after the date the notice is given, the members of that house shall vote on the proposed rule.  If a majority of members of that house vote to approve the proposed rule, the rule is approved and the committee's suspension terminates.  If a majority of members of that house do not vote to approve the proposed rule, the committee's suspension remains in effect.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third day after the date a suspension is terminated under Subsection (d) or (e), the presiding officer of the appropriate house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state agency that proposed the rule of the suspension's termination;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notice of the termination with the secretary of state for publication in the Texas Register.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state agency may adopt a proposed rule only if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approved by both committees to which it is referred as provided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suspended in committee in only one house of the legislature, and that house later votes to approve the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suspended in committee in both houses of the legislature, and both houses later vote to approve the rule.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During the time a proposed rule is suspended under this section, the state agency that proposed the rule may not adopt a rule or emergency rule containing the substance of the suspended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2001.0321, Government Code, as added by this Act, applies only to a proposed state agency rule to which that section applies and for which notice of the rule as proposed is first published in the Texas Register under Section 2001.023, Government Code, on or after the effective date of this Act.  A rule to which Section 2001.0321, Government Code, as added by this Act, applies and for which notice is published before the effective date of this Act is governed by the law in effect when the notice was published,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 but only if the constitutional amendment proposed by the 87th Legislature, Regular Session, 2021, authorizing the legislature to provide for legislative review or approval of state agency rules is approved by the voters.  If that proposed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