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87R1987 AJZ-F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J. Johnson of Harris</w:t>
      </w:r>
      <w:r xml:space="preserve">
        <w:tab wTab="150" tlc="none" cTlc="0"/>
      </w:r>
      <w:r>
        <w:t xml:space="preserve">H.B.</w:t>
      </w:r>
      <w:r xml:space="preserve">
        <w:t> </w:t>
      </w:r>
      <w:r>
        <w:t xml:space="preserve">No.</w:t>
      </w:r>
      <w:r xml:space="preserve">
        <w:t> </w:t>
      </w:r>
      <w:r>
        <w:t xml:space="preserve">71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authority of peace officers to conduct certain searches.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Article 1.06, Code of Criminal Procedure, is amended to read as follows:</w:t>
      </w:r>
    </w:p>
    <w:p w:rsidR="003F3435" w:rsidRDefault="0032493E">
      <w:pPr>
        <w:spacing w:line="480" w:lineRule="auto"/>
        <w:ind w:firstLine="720"/>
        <w:jc w:val="both"/>
      </w:pPr>
      <w:r>
        <w:t xml:space="preserve">Art.</w:t>
      </w:r>
      <w:r xml:space="preserve">
        <w:t> </w:t>
      </w:r>
      <w:r>
        <w:t xml:space="preserve">1.06.</w:t>
      </w:r>
      <w:r xml:space="preserve">
        <w:t> </w:t>
      </w:r>
      <w:r xml:space="preserve">
        <w:t> </w:t>
      </w:r>
      <w:r>
        <w:t xml:space="preserve">SEARCHES AND SEIZURES.  </w:t>
      </w:r>
      <w:r>
        <w:rPr>
          <w:u w:val="single"/>
        </w:rPr>
        <w:t xml:space="preserve">(a)</w:t>
      </w:r>
      <w:r>
        <w:t xml:space="preserve">  The people shall be secure in their persons, houses, papers</w:t>
      </w:r>
      <w:r>
        <w:rPr>
          <w:u w:val="single"/>
        </w:rPr>
        <w:t xml:space="preserve">,</w:t>
      </w:r>
      <w:r>
        <w:t xml:space="preserve"> and possessions from all unreasonable seizures or searches.  No warrant to search any place or to seize any person or thing shall issue without describing them as near as may be, nor without probable cause supported by oath or affirmation.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peace officer who stops a motor vehicle for any alleged violation of a law or ordinance regulating traffic may not search the vehicle unless the peace officer: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has probable cause to conduct the search;</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obtains the written consent of the operator of the vehicle on a form that complies with Section 1701.1526(b), Occupations Code;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obtains the oral consent of the operator of the vehicle and ensures that the oral consent is evidenced by an audio and video recording that complies with Section 1701.1526(c), Occupations Code, and is recorded by a body worn camera, as defined by Section 1701.651, Occupations Code;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has a reasonable and articulable fear that the operator or another person in the vehicle poses a threat to the safety of the peace officer or another person.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D, Chapter 1701, Occupations Code, is amended by adding Section 1701.1526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1701.1526.</w:t>
      </w:r>
      <w:r>
        <w:rPr>
          <w:u w:val="single"/>
        </w:rPr>
        <w:t xml:space="preserve"> </w:t>
      </w:r>
      <w:r>
        <w:rPr>
          <w:u w:val="single"/>
        </w:rPr>
        <w:t xml:space="preserve"> </w:t>
      </w:r>
      <w:r>
        <w:rPr>
          <w:u w:val="single"/>
        </w:rPr>
        <w:t xml:space="preserve">RULES FOR CERTAIN EVIDENCE OF CONSENT TO VEHICLE SEARCH.  (a)  The commission by rule shall establish requirements for: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form used to obtain the written consent of the operator of a motor vehicle under Article 1.06, Code of Criminal Procedure;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audio and video recording used as evidence of the oral consent of the operator of a motor vehicle under Article 1.06, Code of Criminal Procedure.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At a minimum, the rules adopted under Subsection (a)(1) must require the form to contain: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statement that the operator of the motor vehicle fully understands that the operator may refuse to give the peace officer consent to search the motor vehicle;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statement that the operator of the motor vehicle is freely and voluntarily giving the peace officer consent to search the motor vehicle;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time and date of the stop giving rise to the search;</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description of the motor vehicle to be searched;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name of each peace officer conducting the stop or search.</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At a minimum, the rules adopted under Subsection (a)(2) must require the audio and video recording to be created by a body worn camera, as defined by Section 1701.651, and document the following affirmative statements: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statement made by the peace officer that informs the operator of the motor vehicle that the operator may refuse to give the peace officer consent to search the motor vehicle;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statement made by the operator of the motor vehicle that the operator: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fully understands that the operator may refuse to give the peace officer consent to search the motor vehicle;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is freely and voluntarily giving the peace officer consent to search the motor vehicle.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Texas Commission on Law Enforcement shall adopt the rules required by Section 1701.1526, Occupations Code, as added by this Act, not later than December 1, 2021.</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w:t>
      </w:r>
      <w:r xml:space="preserve">
        <w:t> </w:t>
      </w:r>
      <w:r xml:space="preserve">
        <w:t> </w:t>
      </w:r>
      <w:r>
        <w:t xml:space="preserve">Except as provided by Subsection (b) of this section, this Act takes effect September 1, 2021.</w:t>
      </w:r>
    </w:p>
    <w:p w:rsidR="003F3435" w:rsidRDefault="0032493E">
      <w:pPr>
        <w:spacing w:line="480" w:lineRule="auto"/>
        <w:ind w:firstLine="720"/>
        <w:jc w:val="both"/>
      </w:pPr>
      <w:r>
        <w:t xml:space="preserve">(b)</w:t>
      </w:r>
      <w:r xml:space="preserve">
        <w:t> </w:t>
      </w:r>
      <w:r xml:space="preserve">
        <w:t> </w:t>
      </w:r>
      <w:r>
        <w:t xml:space="preserve">Article 1.06, Code of Criminal Procedure, as amended by this Act, takes effect January 1, 2022.</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71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