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 Jetton, Stephenson</w:t>
      </w:r>
      <w:r xml:space="preserve">
        <w:tab wTab="150" tlc="none" cTlc="0"/>
      </w:r>
      <w:r>
        <w:t xml:space="preserve">H.B.</w:t>
      </w:r>
      <w:r xml:space="preserve">
        <w:t> </w:t>
      </w:r>
      <w:r>
        <w:t xml:space="preserve">No.</w:t>
      </w:r>
      <w:r xml:space="preserve">
        <w:t> </w:t>
      </w:r>
      <w:r>
        <w:t xml:space="preserve">72</w:t>
      </w:r>
    </w:p>
    <w:p w:rsidR="003F3435" w:rsidRDefault="0032493E">
      <w:pPr>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Miles)</w:t>
      </w:r>
    </w:p>
    <w:p w:rsidR="003F3435" w:rsidRDefault="0032493E">
      <w:pPr>
        <w:spacing w:before="240"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2021; May</w:t>
      </w:r>
      <w:r xml:space="preserve">
        <w:t> </w:t>
      </w:r>
      <w:r>
        <w:t xml:space="preserve">10,</w:t>
      </w:r>
      <w:r xml:space="preserve">
        <w:t> </w:t>
      </w:r>
      <w:r>
        <w:t xml:space="preserve">2021, read first time and referred to Committee on Local Government; May</w:t>
      </w:r>
      <w:r xml:space="preserve">
        <w:t> </w:t>
      </w:r>
      <w:r>
        <w:t xml:space="preserve">22,</w:t>
      </w:r>
      <w:r xml:space="preserve">
        <w:t> </w:t>
      </w:r>
      <w:r>
        <w:t xml:space="preserve">2021, reported adversely, with favorable Committee Substitute by the following vote:</w:t>
      </w:r>
      <w:r>
        <w:t xml:space="preserve"> </w:t>
      </w:r>
      <w:r>
        <w:t xml:space="preserve"> </w:t>
      </w:r>
      <w:r>
        <w:t xml:space="preserve">Yeas 8, Nays 0; May</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72</w:t>
      </w:r>
      <w:r xml:space="preserve">
        <w:tab wTab="150" tlc="none" cTlc="0"/>
      </w:r>
      <w:r>
        <w:t xml:space="preserve">By:</w:t>
      </w:r>
      <w:r xml:space="preserve">
        <w:t> </w:t>
      </w:r>
      <w:r xml:space="preserve">
        <w:t> </w:t>
      </w:r>
      <w:r>
        <w:t xml:space="preserve">Hall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power of certain counties to enact certain park use rules; changing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320.0455, Local Government Code, is amended to read as follows:</w:t>
      </w:r>
    </w:p>
    <w:p w:rsidR="003F3435" w:rsidRDefault="0032493E">
      <w:pPr>
        <w:spacing w:line="480" w:lineRule="auto"/>
        <w:ind w:firstLine="720"/>
        <w:jc w:val="both"/>
      </w:pPr>
      <w:r>
        <w:t xml:space="preserve">Sec.</w:t>
      </w:r>
      <w:r xml:space="preserve">
        <w:t> </w:t>
      </w:r>
      <w:r>
        <w:t xml:space="preserve">320.0455.</w:t>
      </w:r>
      <w:r xml:space="preserve">
        <w:t> </w:t>
      </w:r>
      <w:r xml:space="preserve">
        <w:t> </w:t>
      </w:r>
      <w:r>
        <w:t xml:space="preserve">RULES IN </w:t>
      </w:r>
      <w:r>
        <w:rPr>
          <w:u w:val="single"/>
        </w:rPr>
        <w:t xml:space="preserve">CERTAIN COUNTIES</w:t>
      </w:r>
      <w:r>
        <w:t xml:space="preserve"> [</w:t>
      </w:r>
      <w:r>
        <w:rPr>
          <w:strike/>
        </w:rPr>
        <w:t xml:space="preserve">A POPULOUS COUNTY</w:t>
      </w:r>
      <w:r>
        <w:t xml:space="preserve">]; PENALTY FOR VIOLATIONS.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320.0455, Local Government Code, is amended by amending Subsections (a), (b), and (c) and adding Subsection (b-1) to read as follows:</w:t>
      </w:r>
    </w:p>
    <w:p w:rsidR="003F3435" w:rsidRDefault="0032493E">
      <w:pPr>
        <w:spacing w:line="480" w:lineRule="auto"/>
        <w:ind w:firstLine="720"/>
        <w:jc w:val="both"/>
      </w:pPr>
      <w:r>
        <w:t xml:space="preserve">(a)</w:t>
      </w:r>
      <w:r xml:space="preserve">
        <w:t> </w:t>
      </w:r>
      <w:r xml:space="preserve">
        <w:t> </w:t>
      </w:r>
      <w:r>
        <w:t xml:space="preserve">This section applies </w:t>
      </w:r>
      <w:r>
        <w:rPr>
          <w:u w:val="single"/>
        </w:rPr>
        <w:t xml:space="preserve">only</w:t>
      </w:r>
      <w:r>
        <w:t xml:space="preserve"> to </w:t>
      </w:r>
      <w:r>
        <w:rPr>
          <w:u w:val="single"/>
        </w:rPr>
        <w:t xml:space="preserve">a county with a population of</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county with a population of</w:t>
      </w:r>
      <w:r>
        <w:t xml:space="preserve">] 2.8 million or more;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580,000 or more that is adjacent to a county with a population of 2.8 million or more; or</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a county with a population of</w:t>
      </w:r>
      <w:r>
        <w:t xml:space="preserve">] more than 410,000 and less than 455,000.</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and subject</w:t>
      </w:r>
      <w:r>
        <w:t xml:space="preserve"> [</w:t>
      </w:r>
      <w:r>
        <w:rPr>
          <w:strike/>
        </w:rPr>
        <w:t xml:space="preserve">Subject</w:t>
      </w:r>
      <w:r>
        <w:t xml:space="preserve">] to the approval of the commissioners court, the board may adopt reasonable rules concerning the use of any park administered by the board.</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board created for a county described by Subsection (a)(2) may not adopt rules relating to the use of fireworks.</w:t>
      </w:r>
    </w:p>
    <w:p w:rsidR="003F3435" w:rsidRDefault="0032493E">
      <w:pPr>
        <w:spacing w:line="480" w:lineRule="auto"/>
        <w:ind w:firstLine="720"/>
        <w:jc w:val="both"/>
      </w:pPr>
      <w:r>
        <w:t xml:space="preserve">(c)</w:t>
      </w:r>
      <w:r xml:space="preserve">
        <w:t> </w:t>
      </w:r>
      <w:r xml:space="preserve">
        <w:t> </w:t>
      </w:r>
      <w:r>
        <w:t xml:space="preserve">A person </w:t>
      </w:r>
      <w:r>
        <w:rPr>
          <w:u w:val="single"/>
        </w:rPr>
        <w:t xml:space="preserve">who</w:t>
      </w:r>
      <w:r>
        <w:t xml:space="preserve"> [</w:t>
      </w:r>
      <w:r>
        <w:rPr>
          <w:strike/>
        </w:rPr>
        <w:t xml:space="preserve">commits an offense if the person</w:t>
      </w:r>
      <w:r>
        <w:t xml:space="preserve">] violates a rule approved by the commissioners court under Subsection (b) </w:t>
      </w:r>
      <w:r>
        <w:rPr>
          <w:u w:val="single"/>
        </w:rPr>
        <w:t xml:space="preserve">is liable to the county for a civil penalty of not more than $100 per violation</w:t>
      </w:r>
      <w:r>
        <w:t xml:space="preserve">. </w:t>
      </w:r>
      <w:r>
        <w:t xml:space="preserve"> </w:t>
      </w:r>
      <w:r>
        <w:rPr>
          <w:u w:val="single"/>
        </w:rPr>
        <w:t xml:space="preserve">A county may bring suit in a district court or county court to recover a civil penalty authorized by this subsection</w:t>
      </w:r>
      <w:r>
        <w:t xml:space="preserve"> [</w:t>
      </w:r>
      <w:r>
        <w:rPr>
          <w:strike/>
        </w:rPr>
        <w:t xml:space="preserve">An offense under this subsection is a Class C misdemeanor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do not affect the pending prosecution of an offense under Section 320.0455, Local Government Code, as that section existed immediately before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