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87R256 ADM-F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Hinojosa</w:t>
      </w:r>
      <w:r xml:space="preserve">
        <w:tab wTab="150" tlc="none" cTlc="0"/>
      </w:r>
      <w:r>
        <w:t xml:space="preserve">H.B.</w:t>
      </w:r>
      <w:r xml:space="preserve">
        <w:t> </w:t>
      </w:r>
      <w:r>
        <w:t xml:space="preserve">No.</w:t>
      </w:r>
      <w:r xml:space="preserve">
        <w:t> </w:t>
      </w:r>
      <w:r>
        <w:t xml:space="preserve">73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limitation on the use of a victim's gender identity or sexual orientation as the basis for a defense in the trial of a criminal offense.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Title 2, Penal Code, is amended by adding Chapter 10 to read as follows:</w:t>
      </w:r>
    </w:p>
    <w:p w:rsidR="003F3435" w:rsidRDefault="0032493E">
      <w:pPr>
        <w:spacing w:line="480" w:lineRule="auto"/>
        <w:jc w:val="center"/>
      </w:pPr>
      <w:r>
        <w:rPr>
          <w:u w:val="single"/>
        </w:rPr>
        <w:t xml:space="preserve">CHAPTER 10.  LIMITATION OF DEFENSE BASED ON VICTIM IDENTITY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"Gender identity" means the actual or perceived gender-related identity, expression, appearance, mannerisms, or other gender-related characteristics of an individual, regardless of the individual's designated sex at birth.</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"Sexual orientation" means actual or perceived heterosexuality, homosexuality, or bisexuality.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10.02.</w:t>
      </w:r>
      <w:r>
        <w:rPr>
          <w:u w:val="single"/>
        </w:rPr>
        <w:t xml:space="preserve"> </w:t>
      </w:r>
      <w:r>
        <w:rPr>
          <w:u w:val="single"/>
        </w:rPr>
        <w:t xml:space="preserve"> </w:t>
      </w:r>
      <w:r>
        <w:rPr>
          <w:u w:val="single"/>
        </w:rPr>
        <w:t xml:space="preserve">LIMITATION OF DEFENSE BASED ON VICTIM IDENTITY.  (a) This section applies in the prosecution of any offense under this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use of force against another is not justified and an actor does not reasonably believe that the use of force is immediately necessary if the use of force occurs in response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actor's discovery or knowledge of, or the victim's disclosure or potential disclosure of, the gender identity or sexual orientation of the victim;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nonviolent romantic or sexual advance made by the victim toward the actor.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defendant may not raise the issue that the defendant demonstrated a lower degree of culpability than that charged if the defendant's claim of a lower degree of culpability is based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defendant's discovery or knowledge of, or the victim's disclosure or potential disclosure of, the gender identity or sexual orientation of the victim;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nonviolent romantic or sexual advance made by the victim toward the defendant.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When determining whether a defendant committed an offense under the immediate influence of sudden passion arising from an adequate cause, it is not an adequate cause that the offense resulted from:</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defendant's discovery or knowledge of, or the victim's disclosure or potential disclosure of, the gender identity or sexual orientation of the victim;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nonviolent romantic or sexual advance made by the victim toward the defendant.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section applies regardless of whether a defendant's knowledge, discovery, or belief regarding the victim's gender identity or sexual orientation was accurate.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73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