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87R1971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w:t>
      </w: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w:t>
      </w:r>
      <w:r>
        <w:rPr>
          <w:u w:val="single"/>
        </w:rPr>
        <w:t xml:space="preserve"> </w:t>
      </w:r>
      <w:r>
        <w:rPr>
          <w:u w:val="single"/>
        </w:rPr>
        <w:t xml:space="preserve">If the full amount of the fine and costs is not waived under Article 45.0491, the justice or judge shall require the defendant to perform community service to discharge the unwaived amount of the fine and costs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