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civil liability of municipalities for failure to comply with immigration detainer requests.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101, Civil Practice and Remedies Code, is amended by adding Section 101.0216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101.0216.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LIABILITY OF MUNICIPALITY FOR FAILURE TO COMPLY WITH IMMIGRATION DETAINER REQUEST.  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(e), a municipality that releases from custody a person who is the subject of an immigration detainer request issued by United States Immigration and Customs Enforcement is liable for damages resulting from a felony committed by the person in this state within 10 years following the person's release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did not detain the person as requested;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was not a citizen of the United States at the time of release;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has filed a petition or applied for equitable relief under Section 752.055, Government Code, against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immigration detainer request described by Subsection (a) is presumed to be valid, regardless of whether the detainer is written or verbal.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create liability for damages that a person who is subject to an immigration detainer request sustains following the person's release by a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Governmental immunity of a municipality to suit is waived and abolished to the extent of liability created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is not liable under Subsection (a) for damages incurred after United States Immigration and Customs Enforcement subsequently detains the person described by that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101.0216, Civil Practice and Remedies Code, as added by this Act, applies only with respect to the release of a person from custody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