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87R3324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Reynolds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electronic voter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13, Election Code, is amended by adding Section 13.009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13.009.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VOTER REGISTRATION.  (a)  The secretary of state shall implement a program to allow a person with an unexpired driver's license or personal identification card issued in this state to complete a voter registration application over the Internet from a secure Internet website.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Internet website established under this section must allow a person to submit: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initial application for registration;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to update a voter registration record.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When a person submits an application under this section, the secretary of state shall compare the information provided by the applicant against the Department of Public Safety records.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completed online application and information from the Department of Public Safety, including the applicant's digital signature, shall be provided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county voter registration office for the county where the applicant currently resides;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for the statewide computerized voter registration list under Section 18.061.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application electronically submitted under this section is considered for all purposes as an application submitted by mail under this title. </w:t>
      </w:r>
      <w:r>
        <w:rPr>
          <w:u w:val="single"/>
        </w:rPr>
        <w:t xml:space="preserve"> </w:t>
      </w:r>
      <w:r>
        <w:rPr>
          <w:u w:val="single"/>
        </w:rPr>
        <w:t xml:space="preserve">A digital signature given as provided by secretary of state rule meets the signature requirement under Section 13.002(b).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secretary of state shall adopt rules as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