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certain state agency actions relating to high-speed rail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112, Transportation Code, is amended by adding Section 112.004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RESTRICTIONS ON CERTAIN STATE AGENCY ACTIONS RELATING TO HIGH-SPEED RAIL PROJECTS.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"High-speed rail" has the meaning assigned by Section 112.201.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means a board, commission, council, committee, department, office, agency, or other governmental entity in the executive branch of state government.  The term does not include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a state agency determines that a private entity has obtained all necessary federal approvals and permits for the construction of a high-speed rail project, the state agency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any permit required for the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negotiate or enter into an agreement with the private entity for right-of-way access for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