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Rodriguez, Craddick, Cole, Hinojosa,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Goodwin,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a charitable organization and used in providing housing and related services to certain homeless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11.18(p),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exemption authorized by Subsection (d)(23) applies only to property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owned by a charitable organization that has been in existence for at least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12 years </w:t>
      </w:r>
      <w:r>
        <w:rPr>
          <w:u w:val="single"/>
        </w:rPr>
        <w:t xml:space="preserve">if the property is located in a municipality described by Subdivision (3)(A);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if the property is located on or consists of a single campus in a municipality described by Subdivision (3)(B)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used to provide housing and related services to individuals described by that subsection;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located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on or consists of a single campus</w:t>
      </w:r>
      <w:r>
        <w:t xml:space="preserve">] in a municipality with a population of more than 750,000 and less than 850,000 or within the extraterritorial jurisdiction of such a municipality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or consists of a single campus in a municipality with a population of more than 100,000 and less than 150,000 at least part of which is located in a county with a population of less than 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