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a charitable organization and used in providing housing and related services to certain homeless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11.18(p),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exemption authorized by Subsection (d)(23) applies only to property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owned by a charitable organization that has been in existence for at least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</w:t>
      </w:r>
      <w:r>
        <w:t xml:space="preserve"> </w:t>
      </w:r>
      <w:r>
        <w:t xml:space="preserve">[</w:t>
      </w:r>
      <w:r>
        <w:rPr>
          <w:strike/>
        </w:rPr>
        <w:t xml:space="preserve">12</w:t>
      </w:r>
      <w:r>
        <w:t xml:space="preserve">] years </w:t>
      </w:r>
      <w:r>
        <w:rPr>
          <w:u w:val="single"/>
        </w:rPr>
        <w:t xml:space="preserve">if the property is located in a county described by Subdivision (4)(A);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if the property is located in a municipality described by Subdivision (4)(B)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is located on a tract of land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15 acres in size;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either: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the organization on July 1, 2021;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acquired by donation and owned by the organization on January 1, 2023;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is used to provide </w:t>
      </w:r>
      <w:r>
        <w:rPr>
          <w:u w:val="single"/>
        </w:rPr>
        <w:t xml:space="preserve">permanent</w:t>
      </w:r>
      <w:r>
        <w:t xml:space="preserve"> </w:t>
      </w:r>
      <w:r>
        <w:t xml:space="preserve">housing and related services to individuals described by that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is located [</w:t>
      </w:r>
      <w:r>
        <w:rPr>
          <w:strike/>
        </w:rPr>
        <w:t xml:space="preserve">on or consists of a single campus</w:t>
      </w:r>
      <w:r>
        <w:t xml:space="preserve">]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county</w:t>
      </w:r>
      <w:r>
        <w:t xml:space="preserve"> </w:t>
      </w:r>
      <w:r>
        <w:t xml:space="preserve">[</w:t>
      </w:r>
      <w:r>
        <w:rPr>
          <w:strike/>
        </w:rPr>
        <w:t xml:space="preserve">municipality</w:t>
      </w:r>
      <w:r>
        <w:t xml:space="preserve">] with a population of more than </w:t>
      </w:r>
      <w:r>
        <w:rPr>
          <w:u w:val="single"/>
        </w:rPr>
        <w:t xml:space="preserve">one million</w:t>
      </w:r>
      <w:r>
        <w:t xml:space="preserve"> </w:t>
      </w:r>
      <w:r>
        <w:t xml:space="preserve">[</w:t>
      </w:r>
      <w:r>
        <w:rPr>
          <w:strike/>
        </w:rPr>
        <w:t xml:space="preserve">750,000</w:t>
      </w:r>
      <w:r>
        <w:t xml:space="preserve">] and less than </w:t>
      </w:r>
      <w:r>
        <w:rPr>
          <w:u w:val="single"/>
        </w:rPr>
        <w:t xml:space="preserve">1.5 million;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more than 100,000 and less than 150,000 at least part of which is located in a county with a population of less than 5,000</w:t>
      </w:r>
      <w:r>
        <w:t xml:space="preserve"> </w:t>
      </w:r>
      <w:r>
        <w:t xml:space="preserve">[</w:t>
      </w:r>
      <w:r>
        <w:rPr>
          <w:strike/>
        </w:rPr>
        <w:t xml:space="preserve">850,000 or within the extraterritorial jurisdiction of such a municipality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115 was passed by the House on April 13, 2021, by the following vote:</w:t>
      </w:r>
      <w:r xml:space="preserve">
        <w:t> </w:t>
      </w:r>
      <w:r xml:space="preserve">
        <w:t> </w:t>
      </w:r>
      <w:r>
        <w:t xml:space="preserve">Yeas 147, Nays 0, 1 present, not voting; and that the House concurred in Senate amendments to H.B. No. 115 on May 28, 2021, by the following vote:</w:t>
      </w:r>
      <w:r xml:space="preserve">
        <w:t> </w:t>
      </w:r>
      <w:r xml:space="preserve">
        <w:t> </w:t>
      </w:r>
      <w:r>
        <w:t xml:space="preserve">Yeas 140, Nays 5,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115 was passed by the Senate, with amendments, on May 21,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