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87R2689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Turner of Dallas, White,</w:t>
      </w:r>
      <w:r xml:space="preserve">
        <w:tab wTab="150" tlc="none" cTlc="0"/>
      </w:r>
      <w:r>
        <w:t xml:space="preserve">H.B.</w:t>
      </w:r>
      <w:r xml:space="preserve">
        <w:t> </w:t>
      </w:r>
      <w:r>
        <w:t xml:space="preserve">No.</w:t>
      </w:r>
      <w:r xml:space="preserve">
        <w:t> </w:t>
      </w:r>
      <w:r>
        <w:t xml:space="preserve">119</w:t>
      </w:r>
    </w:p>
    <w:p w:rsidR="003F3435" w:rsidRDefault="0032493E">
      <w:pPr>
        <w:jc w:val="both"/>
      </w:pPr>
      <w:r xml:space="preserve">
        <w:t> </w:t>
      </w:r>
      <w:r xml:space="preserve">
        <w:t> </w:t>
      </w:r>
      <w:r xml:space="preserve">
        <w:t> </w:t>
      </w:r>
      <w:r xml:space="preserve">
        <w:t> </w:t>
      </w:r>
      <w:r xml:space="preserve">
        <w:t> </w:t>
      </w:r>
      <w:r>
        <w:t xml:space="preserve">Holland</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organ transplant recipient discrimination on the basis of certain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S, Chapter 161, Health and Safety Code, is amended to read as follows:</w:t>
      </w:r>
    </w:p>
    <w:p w:rsidR="003F3435" w:rsidRDefault="0032493E">
      <w:pPr>
        <w:spacing w:line="480" w:lineRule="auto"/>
        <w:jc w:val="center"/>
      </w:pPr>
      <w:r>
        <w:t xml:space="preserve">SUBCHAPTER S. ALLOCATION OF KIDNEYS </w:t>
      </w:r>
      <w:r>
        <w:rPr>
          <w:u w:val="single"/>
        </w:rPr>
        <w:t xml:space="preserve">AND OTHER ORGANS</w:t>
      </w:r>
      <w:r>
        <w:t xml:space="preserve"> AVAILABLE FOR TRANSPLANT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161.471, Health and Safety Code, is amended to read as follows:</w:t>
      </w:r>
    </w:p>
    <w:p w:rsidR="003F3435" w:rsidRDefault="0032493E">
      <w:pPr>
        <w:spacing w:line="480" w:lineRule="auto"/>
        <w:ind w:firstLine="720"/>
        <w:jc w:val="both"/>
      </w:pPr>
      <w:r>
        <w:t xml:space="preserve">Sec.</w:t>
      </w:r>
      <w:r xml:space="preserve">
        <w:t> </w:t>
      </w:r>
      <w:r>
        <w:t xml:space="preserve">161.471.</w:t>
      </w:r>
      <w:r xml:space="preserve">
        <w:t> </w:t>
      </w:r>
      <w:r xml:space="preserve">
        <w:t> </w:t>
      </w:r>
      <w:r>
        <w:rPr>
          <w:u w:val="single"/>
        </w:rPr>
        <w:t xml:space="preserve">DEFINITIONS</w:t>
      </w:r>
      <w:r>
        <w:t xml:space="preserve"> </w:t>
      </w:r>
      <w:r>
        <w:t xml:space="preserve">[</w:t>
      </w:r>
      <w:r>
        <w:rPr>
          <w:strike/>
        </w:rPr>
        <w:t xml:space="preserve">DEFINITION</w:t>
      </w:r>
      <w:r>
        <w:t xml:space="preserve">].  In this subchapter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"Auxiliary aids and services"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qualified interpreters or other effective methods of making aurally delivered materials available to individuals with hearing impairments;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qualified readers, taped texts, or other effective methods of making visually delivered materials available to individuals with visual impairments;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provision of information in a format accessible to individuals with cognitive, neurological, developmental, or intellectual disabilities;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provision of supported decision-making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acquisition or modification of equipment or devices;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similar services and actions.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"Disability" has the meaning assigned by the Americans with Disabilities Act of 1990 (42 U.S.C. Section 12101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or facility licensed, certified, or otherwise authorized to provide health care in the ordinary course of business or professional practice, including a physician, hospital, nursing facility, laboratory, intermediate care facility, mental health facility, and any other facility for individuals with intellectual or developmental disabilities;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organ procurement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"Organ</w:t>
      </w:r>
      <w:r>
        <w:t xml:space="preserve"> [</w:t>
      </w:r>
      <w:r>
        <w:rPr>
          <w:strike/>
        </w:rPr>
        <w:t xml:space="preserve">, "organ</w:t>
      </w:r>
      <w:r>
        <w:t xml:space="preserve">] procurement organization" means an organization that is a qualified organ procurement organization under 42 U.S.C. Section 273 that is currently certified or recertified in accordance with that federal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"Supported decision making" means the use of a support person to assist an individual in making medical decisions, communicate information to the individual, or ascertain an individual's wishes,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allowing the individual's attorney-in-fact or agent under a medical power of attorney or any person the individual selects to be included in communications related to the individual's medical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permitting the individual to designate a person to support the individual in communicating, processing information, or making medical decisions;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auxiliary aids and services to assist the individual in communicating and processing health-related information, including the use of assistive communication technology;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providing information to persons designated by the individual in a manner consistent with the Health Insurance Portability and Accountability Act of 1996 (Pub. L. No.</w:t>
      </w:r>
      <w:r>
        <w:rPr>
          <w:u w:val="single"/>
        </w:rPr>
        <w:t xml:space="preserve"> </w:t>
      </w:r>
      <w:r>
        <w:rPr>
          <w:u w:val="single"/>
        </w:rPr>
        <w:t xml:space="preserve">104-191), regulations adopted under that Act, and other applicable laws and regulations governing disclosure of health information;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providing health information in a format that is readily understandable by the individual;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if the individual has a court-appointed guardian or other individual responsible for making medical decisions on behalf of the individual, ensuring that the individual is included in decisions involving the individual's health care and that medical decisions are made in accordance with the individual's expressed interests.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S, Chapter 161, Health and Safety Code, is amended by adding Section 161.473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161.473.</w:t>
      </w:r>
      <w:r>
        <w:rPr>
          <w:u w:val="single"/>
        </w:rPr>
        <w:t xml:space="preserve"> </w:t>
      </w:r>
      <w:r>
        <w:rPr>
          <w:u w:val="single"/>
        </w:rPr>
        <w:t xml:space="preserve"> </w:t>
      </w:r>
      <w:r>
        <w:rPr>
          <w:u w:val="single"/>
        </w:rPr>
        <w:t xml:space="preserve">DISCRIMINATION ON BASIS OF DISABILITY PROHIBITED.  (a) </w:t>
      </w:r>
      <w:r>
        <w:rPr>
          <w:u w:val="single"/>
        </w:rPr>
        <w:t xml:space="preserve"> </w:t>
      </w:r>
      <w:r>
        <w:rPr>
          <w:u w:val="single"/>
        </w:rPr>
        <w:t xml:space="preserve">A health care provider may not, solely on the basis of an individual's disability: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an individual is ineligible to receive an organ transplant;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 medical or other services related to an organ transplant, including evaluation, surgery, counseling, and postoperative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refer the individual to a transplant center or other related specialist for evaluation or an organ transplant;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refuse to place an individual on an organ transplant waiting list or place the individual at a position lower in priority on the list than the position the individual would have been placed if not for the individual's disability;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decline insurance coverage for any procedure associated with the organ transplant, including post-transplant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health care provider may consider an individual's disability when making a treatment or coverage recommendation or decision solely to the extent that a physician or surgeon, following an individualized evaluation of the potential recipient, determines the disability is medically significant to the organ transplant. This section does not require a referral or recommendation for, or the performance of, a medically inappropriate organ transplant.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consider an individual's inability to independently comply with post-transplant medical requirements as medically significant for the purposes of Subsection (b) if the individual has the necessary support system to assist the individual in complying with the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care provider shall make reasonable modifications in policies, practices, or procedures as necessary to make services, including transplant-related counseling, information, coverage, or treatment, available to an individual with a disability, unless the health care provider can demonstrate that making the modifications would fundamentally alter the nature of the services. Reasonable modifications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communicating with persons responsible for supporting an individual with postsurgical and post-transplant care, including medication;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considering the support available to the individual in determining whether the individual is able to comply with post-transplant medical requirements, including support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family;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friends;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home and community-based services, including home and community-based services funded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medical assistance program established under Chapter 32, Human Resources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Medicare;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health plan in which the individual is enrolled;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other program or source of funding available to the individual.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care provider shall ensure that an individual with a disability is not denied services, including transplant-related counseling, information, coverage, or treatment, because auxiliary aids and services are absent unless the health care provider can demonstrate that providing the services with auxiliary aids and services present would fundamentally alter the services provided or would impose an undue burden on the health care provider.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shall comply with the requirements of Titles II and III of the Americans with Disabilities Act of 1990 (42 U.S.C. Section 12131 et seq.).</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to each stage of the organ transplant process.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violation of this section is grounds for disciplinary action by the regulatory agency that issued a license, certificate, or other authority to a health care provider who committed the violation.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2022, the executive commissioner of the Health and Human Services Commission shall adopt any rules necessary to implement Subchapter S, Chapter 161, Health and Safety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