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127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carrying of certain firearms;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46.02, Penal Code, is amended by adding Subsection (a-5) to read as follows: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intentionally, knowingly, or recklessly carries on or about his or her person a firearm other than a handgun at any time in which the firearm is in plain view;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person's own premises or premises under the person's control;</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inside of or directly en route to a motor vehicle or watercraft that is owned by the person or under the person's control;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privately owned real property with the effective consent of the owner of the real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46.15(j), (k), and (l), Penal Code, are amended to read as follows:</w:t>
      </w:r>
    </w:p>
    <w:p w:rsidR="003F3435" w:rsidRDefault="0032493E">
      <w:pPr>
        <w:spacing w:line="480" w:lineRule="auto"/>
        <w:ind w:firstLine="720"/>
        <w:jc w:val="both"/>
      </w:pPr>
      <w:r>
        <w:t xml:space="preserve">(j)</w:t>
      </w:r>
      <w:r xml:space="preserve">
        <w:t> </w:t>
      </w:r>
      <w:r xml:space="preserve">
        <w:t> </w:t>
      </w:r>
      <w:r>
        <w:t xml:space="preserve">The provisions of Section 46.02 prohibiting the carrying of a </w:t>
      </w:r>
      <w:r>
        <w:rPr>
          <w:u w:val="single"/>
        </w:rPr>
        <w:t xml:space="preserve">firearm</w:t>
      </w:r>
      <w:r>
        <w:t xml:space="preserve"> [</w:t>
      </w:r>
      <w:r>
        <w:rPr>
          <w:strike/>
        </w:rPr>
        <w:t xml:space="preserve">handgun</w:t>
      </w:r>
      <w:r>
        <w:t xml:space="preserve">] do not apply to an individual who carries a </w:t>
      </w:r>
      <w:r>
        <w:rPr>
          <w:u w:val="single"/>
        </w:rPr>
        <w:t xml:space="preserve">firearm</w:t>
      </w:r>
      <w:r>
        <w:t xml:space="preserve"> [</w:t>
      </w:r>
      <w:r>
        <w:rPr>
          <w:strike/>
        </w:rPr>
        <w:t xml:space="preserve">handgun</w:t>
      </w:r>
      <w:r>
        <w:t xml:space="preserve">] as a participant in a historical reenactment performed in accordance with the rules of the Texas Alcoholic Beverage Commission.</w:t>
      </w:r>
    </w:p>
    <w:p w:rsidR="003F3435" w:rsidRDefault="0032493E">
      <w:pPr>
        <w:spacing w:line="480" w:lineRule="auto"/>
        <w:ind w:firstLine="720"/>
        <w:jc w:val="both"/>
      </w:pPr>
      <w:r>
        <w:t xml:space="preserve">(k)</w:t>
      </w:r>
      <w:r xml:space="preserve">
        <w:t> </w:t>
      </w:r>
      <w:r xml:space="preserve">
        <w:t> </w:t>
      </w:r>
      <w:r>
        <w:t xml:space="preserve">Section 46.02 does not apply to a person who carries a </w:t>
      </w:r>
      <w:r>
        <w:rPr>
          <w:u w:val="single"/>
        </w:rPr>
        <w:t xml:space="preserve">firearm</w:t>
      </w:r>
      <w:r>
        <w:t xml:space="preserve"> [</w:t>
      </w:r>
      <w:r>
        <w:rPr>
          <w:strike/>
        </w:rPr>
        <w:t xml:space="preserve">handgun</w:t>
      </w:r>
      <w:r>
        <w:t xml:space="preserve">] if:</w:t>
      </w:r>
    </w:p>
    <w:p w:rsidR="003F3435" w:rsidRDefault="0032493E">
      <w:pPr>
        <w:spacing w:line="480" w:lineRule="auto"/>
        <w:ind w:firstLine="1440"/>
        <w:jc w:val="both"/>
      </w:pPr>
      <w:r>
        <w:t xml:space="preserve">(1)</w:t>
      </w:r>
      <w:r xml:space="preserve">
        <w:t> </w:t>
      </w:r>
      <w:r xml:space="preserve">
        <w:t> </w:t>
      </w:r>
      <w:r>
        <w:t xml:space="preserve">the person carries the </w:t>
      </w:r>
      <w:r>
        <w:rPr>
          <w:u w:val="single"/>
        </w:rPr>
        <w:t xml:space="preserve">firearm</w:t>
      </w:r>
      <w:r>
        <w:t xml:space="preserve"> [</w:t>
      </w:r>
      <w:r>
        <w:rPr>
          <w:strike/>
        </w:rPr>
        <w:t xml:space="preserve">handgun</w:t>
      </w:r>
      <w:r>
        <w:t xml:space="preserve">] while:</w:t>
      </w:r>
    </w:p>
    <w:p w:rsidR="003F3435" w:rsidRDefault="0032493E">
      <w:pPr>
        <w:spacing w:line="480" w:lineRule="auto"/>
        <w:ind w:firstLine="2160"/>
        <w:jc w:val="both"/>
      </w:pPr>
      <w:r>
        <w:t xml:space="preserve">(A)</w:t>
      </w:r>
      <w:r xml:space="preserve">
        <w:t> </w:t>
      </w:r>
      <w:r xml:space="preserve">
        <w:t> </w:t>
      </w:r>
      <w:r>
        <w:t xml:space="preserve">evacuating from an area following the declaration of a state of disaster under Section 418.014, Government Code, or a local state of disaster under Section 418.108, Government Code, with respect to that area; or</w:t>
      </w:r>
    </w:p>
    <w:p w:rsidR="003F3435" w:rsidRDefault="0032493E">
      <w:pPr>
        <w:spacing w:line="480" w:lineRule="auto"/>
        <w:ind w:firstLine="2160"/>
        <w:jc w:val="both"/>
      </w:pPr>
      <w:r>
        <w:t xml:space="preserve">(B)</w:t>
      </w:r>
      <w:r xml:space="preserve">
        <w:t> </w:t>
      </w:r>
      <w:r xml:space="preserve">
        <w:t> </w:t>
      </w:r>
      <w:r>
        <w:t xml:space="preserve">reentering that area following the person's evacuation;</w:t>
      </w:r>
    </w:p>
    <w:p w:rsidR="003F3435" w:rsidRDefault="0032493E">
      <w:pPr>
        <w:spacing w:line="480" w:lineRule="auto"/>
        <w:ind w:firstLine="1440"/>
        <w:jc w:val="both"/>
      </w:pPr>
      <w:r>
        <w:t xml:space="preserve">(2)</w:t>
      </w:r>
      <w:r xml:space="preserve">
        <w:t> </w:t>
      </w:r>
      <w:r xml:space="preserve">
        <w:t> </w:t>
      </w:r>
      <w:r>
        <w:t xml:space="preserve">not more than 168 hours have elapsed since the state of disaster or local state of disaster was declared, or more than 168 hours have elapsed since the time the declaration was made and the governor has extended the period during which a person may carry a </w:t>
      </w:r>
      <w:r>
        <w:rPr>
          <w:u w:val="single"/>
        </w:rPr>
        <w:t xml:space="preserve">firearm</w:t>
      </w:r>
      <w:r>
        <w:t xml:space="preserve"> [</w:t>
      </w:r>
      <w:r>
        <w:rPr>
          <w:strike/>
        </w:rPr>
        <w:t xml:space="preserve">handgun</w:t>
      </w:r>
      <w:r>
        <w:t xml:space="preserve">] under this subsection; and</w:t>
      </w:r>
    </w:p>
    <w:p w:rsidR="003F3435" w:rsidRDefault="0032493E">
      <w:pPr>
        <w:spacing w:line="480" w:lineRule="auto"/>
        <w:ind w:firstLine="1440"/>
        <w:jc w:val="both"/>
      </w:pPr>
      <w:r>
        <w:t xml:space="preserve">(3)</w:t>
      </w:r>
      <w:r xml:space="preserve">
        <w:t> </w:t>
      </w:r>
      <w:r xml:space="preserve">
        <w:t> </w:t>
      </w:r>
      <w:r>
        <w:t xml:space="preserve">the person is not prohibited by state or federal law from possessing a firearm.</w:t>
      </w:r>
    </w:p>
    <w:p w:rsidR="003F3435" w:rsidRDefault="0032493E">
      <w:pPr>
        <w:spacing w:line="480" w:lineRule="auto"/>
        <w:ind w:firstLine="720"/>
        <w:jc w:val="both"/>
      </w:pPr>
      <w:r>
        <w:t xml:space="preserve">(l)</w:t>
      </w:r>
      <w:r xml:space="preserve">
        <w:t> </w:t>
      </w:r>
      <w:r xml:space="preserve">
        <w:t> </w:t>
      </w:r>
      <w:r>
        <w:t xml:space="preserve">Sections 46.02, 46.03(a)(1), (a)(2), (a)(3), and (a)(4), and 46.035(a), (a-1), (a-2), (a-3), (b)(1), (b)(5), and (b)(6) do not apply to a person who carries a </w:t>
      </w:r>
      <w:r>
        <w:rPr>
          <w:u w:val="single"/>
        </w:rPr>
        <w:t xml:space="preserve">firearm</w:t>
      </w:r>
      <w:r>
        <w:t xml:space="preserve"> [</w:t>
      </w:r>
      <w:r>
        <w:rPr>
          <w:strike/>
        </w:rPr>
        <w:t xml:space="preserve">handgun</w:t>
      </w:r>
      <w:r>
        <w:t xml:space="preserve">] if:</w:t>
      </w:r>
    </w:p>
    <w:p w:rsidR="003F3435" w:rsidRDefault="0032493E">
      <w:pPr>
        <w:spacing w:line="480" w:lineRule="auto"/>
        <w:ind w:firstLine="1440"/>
        <w:jc w:val="both"/>
      </w:pPr>
      <w:r>
        <w:t xml:space="preserve">(1)</w:t>
      </w:r>
      <w:r xml:space="preserve">
        <w:t> </w:t>
      </w:r>
      <w:r xml:space="preserve">
        <w:t> </w:t>
      </w:r>
      <w:r>
        <w:t xml:space="preserve">the person carries the </w:t>
      </w:r>
      <w:r>
        <w:rPr>
          <w:u w:val="single"/>
        </w:rPr>
        <w:t xml:space="preserve">firearm</w:t>
      </w:r>
      <w:r>
        <w:t xml:space="preserve"> [</w:t>
      </w:r>
      <w:r>
        <w:rPr>
          <w:strike/>
        </w:rPr>
        <w:t xml:space="preserve">handgun</w:t>
      </w:r>
      <w:r>
        <w:t xml:space="preserve">] on the premises, as defined by the statute providing the applicable offense, of a location operating as an emergency shelter during a state of disaster declared under Section 418.014, Government Code, or a local state of disaster declared under Section 418.108, Government Code;</w:t>
      </w:r>
    </w:p>
    <w:p w:rsidR="003F3435" w:rsidRDefault="0032493E">
      <w:pPr>
        <w:spacing w:line="480" w:lineRule="auto"/>
        <w:ind w:firstLine="1440"/>
        <w:jc w:val="both"/>
      </w:pPr>
      <w:r>
        <w:t xml:space="preserve">(2)</w:t>
      </w:r>
      <w:r xml:space="preserve">
        <w:t> </w:t>
      </w:r>
      <w:r xml:space="preserve">
        <w:t> </w:t>
      </w:r>
      <w:r>
        <w:t xml:space="preserve">the owner, controller, or operator of the premises or a person acting with the apparent authority of the owner, controller, or operator, authorized the carrying of the </w:t>
      </w:r>
      <w:r>
        <w:rPr>
          <w:u w:val="single"/>
        </w:rPr>
        <w:t xml:space="preserve">firearm</w:t>
      </w:r>
      <w:r>
        <w:t xml:space="preserve"> [</w:t>
      </w:r>
      <w:r>
        <w:rPr>
          <w:strike/>
        </w:rPr>
        <w:t xml:space="preserve">handgun</w:t>
      </w:r>
      <w:r>
        <w:t xml:space="preserve">];</w:t>
      </w:r>
    </w:p>
    <w:p w:rsidR="003F3435" w:rsidRDefault="0032493E">
      <w:pPr>
        <w:spacing w:line="480" w:lineRule="auto"/>
        <w:ind w:firstLine="1440"/>
        <w:jc w:val="both"/>
      </w:pPr>
      <w:r>
        <w:t xml:space="preserve">(3)</w:t>
      </w:r>
      <w:r xml:space="preserve">
        <w:t> </w:t>
      </w:r>
      <w:r xml:space="preserve">
        <w:t> </w:t>
      </w:r>
      <w:r>
        <w:t xml:space="preserve">the person carrying the </w:t>
      </w:r>
      <w:r>
        <w:rPr>
          <w:u w:val="single"/>
        </w:rPr>
        <w:t xml:space="preserve">firearm</w:t>
      </w:r>
      <w:r>
        <w:t xml:space="preserve"> [</w:t>
      </w:r>
      <w:r>
        <w:rPr>
          <w:strike/>
        </w:rPr>
        <w:t xml:space="preserve">handgun</w:t>
      </w:r>
      <w:r>
        <w:t xml:space="preserve">] complies with any rules and regulations of the owner, controller, or operator of the premises that govern the carrying of a </w:t>
      </w:r>
      <w:r>
        <w:rPr>
          <w:u w:val="single"/>
        </w:rPr>
        <w:t xml:space="preserve">firearm</w:t>
      </w:r>
      <w:r>
        <w:t xml:space="preserve"> [</w:t>
      </w:r>
      <w:r>
        <w:rPr>
          <w:strike/>
        </w:rPr>
        <w:t xml:space="preserve">handgun</w:t>
      </w:r>
      <w:r>
        <w:t xml:space="preserve">] on the premises; and</w:t>
      </w:r>
    </w:p>
    <w:p w:rsidR="003F3435" w:rsidRDefault="0032493E">
      <w:pPr>
        <w:spacing w:line="480" w:lineRule="auto"/>
        <w:ind w:firstLine="1440"/>
        <w:jc w:val="both"/>
      </w:pPr>
      <w:r>
        <w:t xml:space="preserve">(4)</w:t>
      </w:r>
      <w:r xml:space="preserve">
        <w:t> </w:t>
      </w:r>
      <w:r xml:space="preserve">
        <w:t> </w:t>
      </w:r>
      <w:r>
        <w:t xml:space="preserve">the person is not prohibited by state or federal law from possessing a firearm.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