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digital citizenship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28.002(z)(2), Education Code, is amended to read as follows:</w:t>
      </w:r>
    </w:p>
    <w:p w:rsidR="003F3435" w:rsidRDefault="0032493E">
      <w:pPr>
        <w:spacing w:line="480" w:lineRule="auto"/>
        <w:ind w:firstLine="720"/>
        <w:jc w:val="both"/>
      </w:pPr>
      <w:r>
        <w:t xml:space="preserve">"Digital citizenship" means the standards of appropriate, responsible, and healthy online behavior,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cyberbullying prevention and response; cyberbullying has  the meaning assigned by Section 37.0832(2);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digital ethics, etiquette, safety, and security,  including the identification of hate speech, racism, and discrimination;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media literacy including</w:t>
      </w:r>
      <w:r>
        <w:t xml:space="preserve"> the ability to </w:t>
      </w:r>
      <w:r>
        <w:rPr>
          <w:u w:val="single"/>
        </w:rPr>
        <w:t xml:space="preserve">identify credible sources of information, and</w:t>
      </w:r>
      <w:r>
        <w:t xml:space="preserve"> access, analyze, evaluate, create, and act on all forms of digital communication.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 (b-1), Education Code, is amended by adding: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credit in digital citizenship as defined by Section 28.002(z)(2).</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