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87R15985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Canales, Sherman, Sr.</w:t>
      </w:r>
      <w:r xml:space="preserve">
        <w:tab wTab="150" tlc="none" cTlc="0"/>
      </w:r>
      <w:r>
        <w:t xml:space="preserve">H.B.</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 to record an investigative interview.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261.3027.</w:t>
      </w:r>
      <w:r>
        <w:rPr>
          <w:u w:val="single"/>
        </w:rPr>
        <w:t xml:space="preserve"> </w:t>
      </w:r>
      <w:r>
        <w:rPr>
          <w:u w:val="single"/>
        </w:rPr>
        <w:t xml:space="preserve"> </w:t>
      </w:r>
      <w:r>
        <w:rPr>
          <w:u w:val="single"/>
        </w:rPr>
        <w:t xml:space="preserve">NOTICE OF RIGHT TO RECORD INTERVIEW.  (a)  Before conducting an interview with an alleged perpetrator, the department shall inform the person orally and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may create an audio recording of the interview but may not record the interview in any other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audio recording made by the person may be subject to subpoena under a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two copies of the written notice to be signed by the person.  The department shall provide one signed notice to the person and retain the other signed notice in the case file.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