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87R2854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notifying an alleged perpetrator of child abuse or neglect of the person's right to record an investigative interview.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261, Family Code, is amended by adding Section 261.3027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261.3027.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RIGHT TO RECORD INTERVIEW.  (a) Before conducting an interview with an alleged perpetrator, the department shall inform the person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 may record the interview;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recording made by the person may be subject to subpoena under a court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document in the case file that the department provided the notice required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