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87R11088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information required for inclusion with a written statement of an individualized education program developed for certain public school students who received special education services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COVID-19 Special Education Recovery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INDIVIDUALIZED EDUCATION PROGRAM SUPPLEMENT.  (a)  Except as provided by Subsection (b), for each child who was enrolled in a school district's special education program under this subchapter during the 2019-2020 school year or the 2020-2021 school year, the district shall prepare a supplement to be included with the written statement of the individualized education program developed for the child under Section 29.005(b). The supplement must include information indicating: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written report of the child's full individual and initial evaluation under Section 29.004 was completed during the 2019-2020 school year or the 2020-2021 school year and, if so, whether the report was completed by the date required under that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child's initial individualized education program was developed under Section 29.005(b) during the 2019-2020 school year or the 2020-2021 school year and, if so, whether the program was developed by the date required under 34 C.F.R. Section 300.323(c)(1);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provision of special services to the child under an individualized education program during the 2019-2020 school year or the 2020-2021 school year was interrupted, reduced, delayed, suspended, or discontinued;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compensatory educational services are appropriate for the child based on the information under Subdivisions (1)-(3) or any other factors.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child if during the 2020-2021 school year the written statement of the child's individualized education program documents the information described under Subsections (a)(1)-(4).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29.005(f) and Section 29.0051 do not apply to a supplement prepared for inclusion with a written statement of an individualized education program, as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May 1, 2022, a school district subject to Section 29.0052, Education Code, as added by this Act, shall complete each required supplement to a written statement of an individualized education program, as provided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