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87R2956 CXP-F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supplemental information required for inclusion with a written statement of an individualized education program developed for certain public school students who received special education services during the 2019-2020 or 2020-2021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shall be known as the COVID-19 Special Education Recovery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29, Education Code, is amended by adding Section 29.0052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29.0052.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INDIVIDUALIZED EDUCATION PROGRAM SUPPLEMENT.  (a)  For each child who was enrolled in a school district's special education program under this subchapter during the 2019-2020 school year or the 2020-2021 school year, the district shall prepare a supplement to be included with the written statement of the individualized education program developed for the child under Section 29.005(b). The supplement must include information indicating: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written report of the child's full individual and initial evaluation under Section 29.004 was completed during the 2019-2020 school year or the 2020-2021 school year and, if so, whether the report was completed by the date required under that section;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child's initial individualized education program was developed under Section 29.005(b) during the 2019-2020 school year or the 2020-2021 school year and, if so, whether the program was developed by the date required under 34 C.F.R. Section 300.323(c)(1);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provision of special services to the child under an individualized education program during the 2019-2020 school year or the 2020-2021 school year was interrupted, reduced, delayed, suspended, or discontinued;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compensatory educational services under Subchapter C are appropriate for the child based on the information under Subdivisions (1)-(3) or any other factors.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29.005(f) and Section 29.0051 do not apply to a supplement prepared for inclusion with a written statement of an individualized education program, as required by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 Not later than December 1, 2021, the commissioner of education shall adopt necessary rules under Section 29.0052,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June 1, 2022, a school district subject to Section 29.0052, Education Code, as added by this Act, shall complete each required supplement to a written statement of an individualized education program, as provided by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