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87R2028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151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exercise of authority by a personal representative of a decedent's estate without court approval.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351.052(a), Estates Code, is amended to read as follows:</w:t>
      </w:r>
    </w:p>
    <w:p w:rsidR="003F3435" w:rsidRDefault="0032493E">
      <w:pPr>
        <w:spacing w:line="480" w:lineRule="auto"/>
        <w:ind w:firstLine="720"/>
        <w:jc w:val="both"/>
      </w:pPr>
      <w:r>
        <w:t xml:space="preserve">(a)</w:t>
      </w:r>
      <w:r xml:space="preserve">
        <w:t> </w:t>
      </w:r>
      <w:r xml:space="preserve">
        <w:t> </w:t>
      </w:r>
      <w:r>
        <w:t xml:space="preserve">A personal representative of an estate may, without application to or order of the court:</w:t>
      </w:r>
    </w:p>
    <w:p w:rsidR="003F3435" w:rsidRDefault="0032493E">
      <w:pPr>
        <w:spacing w:line="480" w:lineRule="auto"/>
        <w:ind w:firstLine="1440"/>
        <w:jc w:val="both"/>
      </w:pPr>
      <w:r>
        <w:t xml:space="preserve">(1)</w:t>
      </w:r>
      <w:r xml:space="preserve">
        <w:t> </w:t>
      </w:r>
      <w:r xml:space="preserve">
        <w:t> </w:t>
      </w:r>
      <w:r>
        <w:t xml:space="preserve">release a lien on payment at maturity of the debt secured by the lien;</w:t>
      </w:r>
    </w:p>
    <w:p w:rsidR="003F3435" w:rsidRDefault="0032493E">
      <w:pPr>
        <w:spacing w:line="480" w:lineRule="auto"/>
        <w:ind w:firstLine="1440"/>
        <w:jc w:val="both"/>
      </w:pPr>
      <w:r>
        <w:t xml:space="preserve">(2)</w:t>
      </w:r>
      <w:r xml:space="preserve">
        <w:t> </w:t>
      </w:r>
      <w:r xml:space="preserve">
        <w:t> </w:t>
      </w:r>
      <w:r>
        <w:t xml:space="preserve">vote stocks by limited or general proxy;</w:t>
      </w:r>
    </w:p>
    <w:p w:rsidR="003F3435" w:rsidRDefault="0032493E">
      <w:pPr>
        <w:spacing w:line="480" w:lineRule="auto"/>
        <w:ind w:firstLine="1440"/>
        <w:jc w:val="both"/>
      </w:pPr>
      <w:r>
        <w:t xml:space="preserve">(3)</w:t>
      </w:r>
      <w:r xml:space="preserve">
        <w:t> </w:t>
      </w:r>
      <w:r xml:space="preserve">
        <w:t> </w:t>
      </w:r>
      <w:r>
        <w:t xml:space="preserve">pay calls and assessments;</w:t>
      </w:r>
    </w:p>
    <w:p w:rsidR="003F3435" w:rsidRDefault="0032493E">
      <w:pPr>
        <w:spacing w:line="480" w:lineRule="auto"/>
        <w:ind w:firstLine="1440"/>
        <w:jc w:val="both"/>
      </w:pPr>
      <w:r>
        <w:t xml:space="preserve">(4)</w:t>
      </w:r>
      <w:r xml:space="preserve">
        <w:t> </w:t>
      </w:r>
      <w:r xml:space="preserve">
        <w:t> </w:t>
      </w:r>
      <w:r>
        <w:t xml:space="preserve">insure the estate against liability in appropriate cases;</w:t>
      </w:r>
    </w:p>
    <w:p w:rsidR="003F3435" w:rsidRDefault="0032493E">
      <w:pPr>
        <w:spacing w:line="480" w:lineRule="auto"/>
        <w:ind w:firstLine="1440"/>
        <w:jc w:val="both"/>
      </w:pPr>
      <w:r>
        <w:t xml:space="preserve">(5)</w:t>
      </w:r>
      <w:r xml:space="preserve">
        <w:t> </w:t>
      </w:r>
      <w:r xml:space="preserve">
        <w:t> </w:t>
      </w:r>
      <w:r>
        <w:t xml:space="preserve">insure estate property against fire, theft, and other hazards;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pay taxes, court costs, and bond premiums</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hire an accountant, bookkeeper, or other tax professional to assist with any tax filing required for the decedent or the estate;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hire a real estate agent to assist with the marketing and selling of any real property of the estate;</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hire an appraiser to assist with any valuations required for estate property for which the court has not appointed an appraiser to appraise the property;</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pay all reasonable costs necessary  to exercise the personal representative's duty of care under Section 351.101;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pay all reasonable costs related to the exercise of  any power listed in Subdivisions (1)-(9)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351.052(a), Estates Code, apply only to the administration of the estate of a decedent who dies on or after the effective date of this Act.  The administration of the estate of a decedent who dies before the effective date of this Act is governed by the law in effect on the date of the decedent's death,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