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instruction regarding culturally inclusive curriculum reflecting the cultural, linguistic and religious diversity of society.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Cultural Inclusion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 28.021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w:t>
      </w:r>
      <w:r>
        <w:rPr>
          <w:u w:val="single"/>
        </w:rPr>
        <w:t xml:space="preserve"> </w:t>
      </w:r>
      <w:r>
        <w:rPr>
          <w:u w:val="single"/>
        </w:rPr>
        <w:t xml:space="preserve"> </w:t>
      </w:r>
      <w:r>
        <w:rPr>
          <w:u w:val="single"/>
        </w:rPr>
        <w:t xml:space="preserve">INSTRUCTION REGARDING CULTURALLY INCLUSIVE CURRICULUM.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"Board" means the State Board of Education</w:t>
      </w:r>
    </w:p>
    <w:p w:rsidR="003F3435" w:rsidRDefault="0032493E">
      <w:pPr>
        <w:spacing w:line="480" w:lineRule="auto"/>
        <w:ind w:firstLine="1440"/>
        <w:jc w:val="both"/>
      </w:pPr>
      <w:r>
        <w:t xml:space="preserve">(2)</w:t>
      </w:r>
      <w:r xml:space="preserve">
        <w:t> </w:t>
      </w:r>
      <w:r xml:space="preserve">
        <w:t> </w:t>
      </w:r>
      <w:r>
        <w:rPr>
          <w:u w:val="single"/>
        </w:rPr>
        <w:t xml:space="preserve">"Agency" means the Texas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agency, and stakeholders shall enter into a memorandum of understanding that establishes the respective responsibilities in developing instruction, including curriculum and instructional modules, on culturally inclusive curriculum reflecting the cultural, linguistic and religious diversity of society. The instruction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Fostering each child's sense of self-identity;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Fostering acceptance of diversity among people by allowing children to ask about and explore the differences;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Encouraging critical thinking about bias by helping children to identify acts of discrimination and stereotypic images in their world;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Encouraging empathy towards others;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Fostering each child's ability to stand up for themselves and others in the face of bias.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instruction under this section, the board and the agency may consult with any interested party, including a volunteer work group convened for the purpose of making recommendations regarding the instruction.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finalizing any instruction under this section, the board and the agency shall provide a reasonable period for public comment.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rules adopted by the board, a school district or open-enrollment charter school may tailor the instruction developed under this section as appropriate for the district's or school 's community. In tailoring the instruction, the district or school shall solicit input from local law enforcement agencies, interested stakeholders, and the community.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