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87R203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Ortega, Moody, González of El Paso,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Fierro, Ordaz Perez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authorization by referendum of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502, Transportation Code, is amended by adding Section 502.4021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502.4021.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COUNTY FEE FOR TRANSPORTATION PROJECTS APPROVED BY METROPOLITAN PLANNING ORGANIZATION.  (a)  This section applies only to a county that borders the United Mexican States and contains a municipality that unilaterally created a regional mobility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by order may impose, in addition to any fee imposed under Section 502.402 or another provision of this chapter, a fee of not more than $10 for a vehicle registered in the county if approved by a majority of the qualified voters of the county voting at an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that may be registered under this chapter without payment of a registration fee may be registered under this section without payment of the additional fee.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fee imposed under this section may take effect and be removed in accordance with the requirements of Section 502.401.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fee shall be collected for a vehicle when other fees imposed under this chapter are collected.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revenue collected shall be sent to a regional mobility authority located in the county to fund long-term transportation projects in the county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consistent with the purposes specified by Section 7-a, Article VIII, Texas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included in a plan approved by the metropolitan planning organization that serves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necessary to administer registration for a vehicle being registered in a county imposing a fee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