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87R203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authorization by referendum of an optional county fee on vehicle registration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502, Transportation Code, is amended by adding Section 502.4021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502.4021.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OPTIONAL COUNTY FEE FOR TRANSPORTATION PROJECTS APPROVED BY METROPOLITAN PLANNING ORGANIZATION.  (a)  This section applies only to a county that borders the United Mexican States and contains a municipality that unilaterally created a regional mobility authority.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by order may impose, in addition to any fee imposed under Section 502.402 or another provision of this chapter, a fee of not more than $10 for a vehicle registered in the county if approved by a majority of the qualified voters of the county voting at an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vehicle that may be registered under this chapter without payment of a registration fee may be registered under this section without payment of the additional fee.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fee imposed under this section may take effect and be removed in accordance with the requirements of Section 502.401.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additional fee shall be collected for a vehicle when other fees imposed under this chapter are collected.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revenue collected shall be sent to a regional mobility authority located in the county to fund long-term transportation projects in the county that 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consistent with the purposes specified by Section 7-a, Article VIII, Texas Constitution;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included in a plan approved by the metropolitan planning organization that serves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rules necessary to administer registration for a vehicle being registered in a county imposing a fee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