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87R14479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Leach, Moody, Shaheen, Sanford,</w:t>
      </w:r>
      <w:r xml:space="preserve">
        <w:tab wTab="150" tlc="none" cTlc="0"/>
      </w:r>
      <w:r>
        <w:t xml:space="preserve">H.B.</w:t>
      </w:r>
      <w:r xml:space="preserve">
        <w:t> </w:t>
      </w:r>
      <w:r>
        <w:t xml:space="preserve">No.</w:t>
      </w:r>
      <w:r xml:space="preserve">
        <w:t> </w:t>
      </w:r>
      <w:r>
        <w:t xml:space="preserve">162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162:</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or referring to juvenile court certain persons for certain conduct constituting the offense of prostitution, to the provision of services to those persons, and to the prosecution of related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Child Sex Trafficking Victims Protections and Provisions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 Family Code, is amended by amending Subsection (b)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officer who suspects that a child may be a victim of an offense under Chapter 20A, Penal Code, or may have engaged in conduct that violates Section 43.02(a), Penal Code, shall take possession of the child in accordance with Section 262.104.  The officer shall, as soon as possible, transfer possession of the child to the Department of Family and Protective Services.  The Department of Family and Protective Services shall, on taking possession of the child, contact a local service provider or care coordinator who will, in consultation with the child sex trafficking prevention unit established under Section 772.0062, Government Code, and the governor's program for victims of child sex trafficking established under Section 772.0063, Government Code, facilitate the assignment of a caseworker for the child to create a customized package of services to fit the child's immediate and long-term rehabilitation and treatment needs, including medical, psychiatric, psychological, safety, and housing needs.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20A, Penal Code, is amended by adding Section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DEFENSE EXCLUDED.  It is not a defense to prosecution under this chapter that the person trafficked by the actor was forced to engage in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prohibited by Section 43.02(a);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person may not be prosecuted as provided by Section 43.02(b-1).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43, Penal Code, is amended by adding Section 43.07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w:t>
      </w:r>
      <w:r>
        <w:rPr>
          <w:u w:val="single"/>
        </w:rPr>
        <w:t xml:space="preserve"> </w:t>
      </w:r>
      <w:r>
        <w:rPr>
          <w:u w:val="single"/>
        </w:rPr>
        <w:t xml:space="preserve"> </w:t>
      </w:r>
      <w:r>
        <w:rPr>
          <w:u w:val="single"/>
        </w:rPr>
        <w:t xml:space="preserve">DEFENSE EXCLUDED.  It is not a defense to prosecution under Section 43.03, 43.031, 43.04, 43.041, or 43.05 that the person who engaged in conduct prohibited by Section 43.02(a) may not be prosecuted for that conduct as provided by Section 43.02(b-1).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