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87R742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common and public nuisances.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125.002, Civil Practice and Remedies Code,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court may issue a temporary restraining order, temporary injunction, or permanent injunction in a suit under this section.</w:t>
      </w:r>
    </w:p>
    <w:p w:rsidR="003F3435" w:rsidRDefault="0032493E">
      <w:pPr>
        <w:spacing w:line="480" w:lineRule="auto"/>
        <w:ind w:firstLine="720"/>
        <w:jc w:val="both"/>
      </w:pPr>
      <w:r>
        <w:t xml:space="preserve">(d)</w:t>
      </w:r>
      <w:r xml:space="preserve">
        <w:t> </w:t>
      </w:r>
      <w:r xml:space="preserve">
        <w:t> </w:t>
      </w:r>
      <w:r>
        <w:t xml:space="preserve">A person who violates a </w:t>
      </w:r>
      <w:r>
        <w:rPr>
          <w:u w:val="single"/>
        </w:rPr>
        <w:t xml:space="preserve">temporary restraining order,</w:t>
      </w:r>
      <w:r>
        <w:t xml:space="preserve"> temporary </w:t>
      </w:r>
      <w:r>
        <w:rPr>
          <w:u w:val="single"/>
        </w:rPr>
        <w:t xml:space="preserve">injunction,</w:t>
      </w:r>
      <w:r>
        <w:t xml:space="preserve"> or permanent </w:t>
      </w:r>
      <w:r>
        <w:rPr>
          <w:u w:val="single"/>
        </w:rPr>
        <w:t xml:space="preserve">injunction issued</w:t>
      </w:r>
      <w:r>
        <w:t xml:space="preserve"> [</w:t>
      </w:r>
      <w:r>
        <w:rPr>
          <w:strike/>
        </w:rPr>
        <w:t xml:space="preserve">injunctive order</w:t>
      </w:r>
      <w:r>
        <w:t xml:space="preserve">] under this subchapter is subject to the following sentences for civil contempt:</w:t>
      </w:r>
    </w:p>
    <w:p w:rsidR="003F3435" w:rsidRDefault="0032493E">
      <w:pPr>
        <w:spacing w:line="480" w:lineRule="auto"/>
        <w:ind w:firstLine="1440"/>
        <w:jc w:val="both"/>
      </w:pPr>
      <w:r>
        <w:t xml:space="preserve">(1)</w:t>
      </w:r>
      <w:r xml:space="preserve">
        <w:t> </w:t>
      </w:r>
      <w:r xml:space="preserve">
        <w:t> </w:t>
      </w:r>
      <w:r>
        <w:t xml:space="preserve">a fine of not less than $1,000 or more than $10,000;</w:t>
      </w:r>
    </w:p>
    <w:p w:rsidR="003F3435" w:rsidRDefault="0032493E">
      <w:pPr>
        <w:spacing w:line="480" w:lineRule="auto"/>
        <w:ind w:firstLine="1440"/>
        <w:jc w:val="both"/>
      </w:pPr>
      <w:r>
        <w:t xml:space="preserve">(2)</w:t>
      </w:r>
      <w:r xml:space="preserve">
        <w:t> </w:t>
      </w:r>
      <w:r xml:space="preserve">
        <w:t> </w:t>
      </w:r>
      <w:r>
        <w:t xml:space="preserve">confinement in jail for a term of not less than 10 or more than 30 days;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125, Civil Practice and Remedies Code, is amended by adding Section 125.0451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125.0451.</w:t>
      </w:r>
      <w:r>
        <w:rPr>
          <w:u w:val="single"/>
        </w:rPr>
        <w:t xml:space="preserve"> </w:t>
      </w:r>
      <w:r>
        <w:rPr>
          <w:u w:val="single"/>
        </w:rPr>
        <w:t xml:space="preserve"> </w:t>
      </w:r>
      <w:r>
        <w:rPr>
          <w:u w:val="single"/>
        </w:rPr>
        <w:t xml:space="preserve">TEMPORARY RESTRAINING ORDER.  (a) </w:t>
      </w:r>
      <w:r>
        <w:rPr>
          <w:u w:val="single"/>
        </w:rPr>
        <w:t xml:space="preserve"> </w:t>
      </w:r>
      <w:r>
        <w:rPr>
          <w:u w:val="single"/>
        </w:rPr>
        <w:t xml:space="preserve">A court may issue a temporary restraining order without a formal hearing in a suit under Section 125.002 only if the person seeking the temporary restraining order shows in an ex parte hearing that a place is maintained in a manner that is a common nuisance or about to become a common nuisance.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temporary restraining order issued under this section may not last for a period of more than 14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temporary restraining order issued under this section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injunctive order for the purposes of Section 125.003 or 125.045;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determination by the court that a person is maintaining a common nuisance for the purposes of Section 125.046.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125.047(c) and (d), Civil Practice and Remedies Code, are amended to read as follows:</w:t>
      </w:r>
    </w:p>
    <w:p w:rsidR="003F3435" w:rsidRDefault="0032493E">
      <w:pPr>
        <w:spacing w:line="480" w:lineRule="auto"/>
        <w:ind w:firstLine="720"/>
        <w:jc w:val="both"/>
      </w:pPr>
      <w:r>
        <w:t xml:space="preserve">(c)</w:t>
      </w:r>
      <w:r xml:space="preserve">
        <w:t> </w:t>
      </w:r>
      <w:r xml:space="preserve">
        <w:t> </w:t>
      </w:r>
      <w:r>
        <w:t xml:space="preserve">A municipality </w:t>
      </w:r>
      <w:r>
        <w:rPr>
          <w:u w:val="single"/>
        </w:rPr>
        <w:t xml:space="preserve">may</w:t>
      </w:r>
      <w:r>
        <w:t xml:space="preserve"> [</w:t>
      </w:r>
      <w:r>
        <w:rPr>
          <w:strike/>
        </w:rPr>
        <w:t xml:space="preserve">shall</w:t>
      </w:r>
      <w:r>
        <w:t xml:space="preserve">] create a fund as a separate account in the treasury of the municipality.</w:t>
      </w:r>
    </w:p>
    <w:p w:rsidR="003F3435" w:rsidRDefault="0032493E">
      <w:pPr>
        <w:spacing w:line="480" w:lineRule="auto"/>
        <w:ind w:firstLine="720"/>
        <w:jc w:val="both"/>
      </w:pPr>
      <w:r>
        <w:t xml:space="preserve">(d)</w:t>
      </w:r>
      <w:r xml:space="preserve">
        <w:t> </w:t>
      </w:r>
      <w:r xml:space="preserve">
        <w:t> </w:t>
      </w:r>
      <w:r>
        <w:rPr>
          <w:u w:val="single"/>
        </w:rPr>
        <w:t xml:space="preserve">If a municipality creates a fund under this section, the</w:t>
      </w:r>
      <w:r>
        <w:t xml:space="preserve"> [</w:t>
      </w:r>
      <w:r>
        <w:rPr>
          <w:strike/>
        </w:rPr>
        <w:t xml:space="preserve">The</w:t>
      </w:r>
      <w:r>
        <w:t xml:space="preserve">] fund consists of:</w:t>
      </w:r>
    </w:p>
    <w:p w:rsidR="003F3435" w:rsidRDefault="0032493E">
      <w:pPr>
        <w:spacing w:line="480" w:lineRule="auto"/>
        <w:ind w:firstLine="1440"/>
        <w:jc w:val="both"/>
      </w:pPr>
      <w:r>
        <w:t xml:space="preserve">(1)</w:t>
      </w:r>
      <w:r xml:space="preserve">
        <w:t> </w:t>
      </w:r>
      <w:r xml:space="preserve">
        <w:t> </w:t>
      </w:r>
      <w:r>
        <w:t xml:space="preserve">money awarded the municipality in an action under this chapter;</w:t>
      </w:r>
    </w:p>
    <w:p w:rsidR="003F3435" w:rsidRDefault="0032493E">
      <w:pPr>
        <w:spacing w:line="480" w:lineRule="auto"/>
        <w:ind w:firstLine="1440"/>
        <w:jc w:val="both"/>
      </w:pPr>
      <w:r>
        <w:t xml:space="preserve">(2)</w:t>
      </w:r>
      <w:r xml:space="preserve">
        <w:t> </w:t>
      </w:r>
      <w:r xml:space="preserve">
        <w:t> </w:t>
      </w:r>
      <w:r>
        <w:t xml:space="preserve">money awarded the municipality under a settlement to an action under this chapter;</w:t>
      </w:r>
    </w:p>
    <w:p w:rsidR="003F3435" w:rsidRDefault="0032493E">
      <w:pPr>
        <w:spacing w:line="480" w:lineRule="auto"/>
        <w:ind w:firstLine="1440"/>
        <w:jc w:val="both"/>
      </w:pPr>
      <w:r>
        <w:t xml:space="preserve">(3)</w:t>
      </w:r>
      <w:r xml:space="preserve">
        <w:t> </w:t>
      </w:r>
      <w:r xml:space="preserve">
        <w:t> </w:t>
      </w:r>
      <w:r>
        <w:t xml:space="preserve">fines resulting from code enforcement citations issued by the municipality for conduct defined as a common or public nuisance under this chapter;</w:t>
      </w:r>
    </w:p>
    <w:p w:rsidR="003F3435" w:rsidRDefault="0032493E">
      <w:pPr>
        <w:spacing w:line="480" w:lineRule="auto"/>
        <w:ind w:firstLine="1440"/>
        <w:jc w:val="both"/>
      </w:pPr>
      <w:r>
        <w:t xml:space="preserve">(4)</w:t>
      </w:r>
      <w:r xml:space="preserve">
        <w:t> </w:t>
      </w:r>
      <w:r xml:space="preserve">
        <w:t> </w:t>
      </w:r>
      <w:r>
        <w:t xml:space="preserve">bonds forfeited to the municipality under this chapter; and</w:t>
      </w:r>
    </w:p>
    <w:p w:rsidR="003F3435" w:rsidRDefault="0032493E">
      <w:pPr>
        <w:spacing w:line="480" w:lineRule="auto"/>
        <w:ind w:firstLine="1440"/>
        <w:jc w:val="both"/>
      </w:pPr>
      <w:r>
        <w:t xml:space="preserve">(5)</w:t>
      </w:r>
      <w:r xml:space="preserve">
        <w:t> </w:t>
      </w:r>
      <w:r xml:space="preserve">
        <w:t> </w:t>
      </w:r>
      <w:r>
        <w:t xml:space="preserve">donations or grants made to the municipality for the purpose of nuisance abatement.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125.002, Civil Practice and Remedies Code, as amended by this Act, and Section 125.0451, Civil Practice and Remedies Code, as added by this Act, apply only to a cause of action that accrues on or after the effective date of this Act. A cause of action that accrues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